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2516D" w14:textId="76F5EC37" w:rsidR="00B10A3E" w:rsidRPr="00F87C3D" w:rsidRDefault="00B10A3E" w:rsidP="00B10A3E">
      <w:pPr>
        <w:pStyle w:val="PlainText"/>
        <w:spacing w:before="120" w:line="360" w:lineRule="auto"/>
        <w:jc w:val="center"/>
        <w:rPr>
          <w:rFonts w:ascii="Times New Roman" w:hAnsi="Times New Roman"/>
          <w:b/>
          <w:szCs w:val="24"/>
        </w:rPr>
      </w:pPr>
    </w:p>
    <w:p w14:paraId="71CAB66F" w14:textId="77777777" w:rsidR="00B10A3E" w:rsidRPr="00F87C3D" w:rsidRDefault="00B10A3E" w:rsidP="00B10A3E">
      <w:pPr>
        <w:pStyle w:val="PlainText"/>
        <w:spacing w:before="120" w:line="360" w:lineRule="auto"/>
        <w:jc w:val="center"/>
        <w:rPr>
          <w:rFonts w:ascii="Times New Roman" w:hAnsi="Times New Roman"/>
          <w:b/>
          <w:szCs w:val="24"/>
        </w:rPr>
      </w:pPr>
    </w:p>
    <w:p w14:paraId="08C5B9A3" w14:textId="77777777" w:rsidR="00B10A3E" w:rsidRPr="00C76614" w:rsidRDefault="00B10A3E" w:rsidP="00B10A3E">
      <w:pPr>
        <w:pStyle w:val="PlainText"/>
        <w:spacing w:before="120" w:line="360" w:lineRule="auto"/>
        <w:jc w:val="center"/>
        <w:rPr>
          <w:rFonts w:ascii="Times New Roman" w:hAnsi="Times New Roman"/>
          <w:b/>
          <w:caps/>
          <w:szCs w:val="24"/>
        </w:rPr>
      </w:pPr>
    </w:p>
    <w:p w14:paraId="246F58B1" w14:textId="7CAE748F" w:rsidR="00B10A3E" w:rsidRPr="00A410D1" w:rsidRDefault="00580390" w:rsidP="00B10A3E">
      <w:pPr>
        <w:pStyle w:val="PlainText"/>
        <w:spacing w:line="360" w:lineRule="auto"/>
        <w:jc w:val="center"/>
        <w:rPr>
          <w:rFonts w:ascii="Times New Roman" w:hAnsi="Times New Roman"/>
          <w:b/>
          <w:sz w:val="40"/>
        </w:rPr>
      </w:pPr>
      <w:bookmarkStart w:id="0" w:name="_Hlk496189829"/>
      <w:r w:rsidRPr="00A410D1">
        <w:rPr>
          <w:rFonts w:ascii="Times New Roman" w:hAnsi="Times New Roman"/>
          <w:b/>
          <w:sz w:val="40"/>
        </w:rPr>
        <w:t xml:space="preserve">Georgia Power Company’s Application </w:t>
      </w:r>
    </w:p>
    <w:p w14:paraId="5EAA33CC" w14:textId="4574ED31" w:rsidR="00B10A3E" w:rsidRDefault="00580390" w:rsidP="00B10A3E">
      <w:pPr>
        <w:pStyle w:val="PlainText"/>
        <w:spacing w:line="360" w:lineRule="auto"/>
        <w:jc w:val="center"/>
        <w:rPr>
          <w:rFonts w:ascii="Times New Roman" w:hAnsi="Times New Roman"/>
          <w:b/>
          <w:sz w:val="40"/>
        </w:rPr>
      </w:pPr>
      <w:r w:rsidRPr="00A410D1">
        <w:rPr>
          <w:rFonts w:ascii="Times New Roman" w:hAnsi="Times New Roman"/>
          <w:b/>
          <w:sz w:val="40"/>
        </w:rPr>
        <w:t>f</w:t>
      </w:r>
      <w:r>
        <w:rPr>
          <w:rFonts w:ascii="Times New Roman" w:hAnsi="Times New Roman"/>
          <w:b/>
          <w:sz w:val="40"/>
        </w:rPr>
        <w:t xml:space="preserve">or the Certification of the </w:t>
      </w:r>
      <w:r w:rsidR="00C42424">
        <w:rPr>
          <w:rFonts w:ascii="Times New Roman" w:hAnsi="Times New Roman"/>
          <w:b/>
          <w:sz w:val="40"/>
        </w:rPr>
        <w:t xml:space="preserve">CARES </w:t>
      </w:r>
      <w:r w:rsidR="005C7A31">
        <w:rPr>
          <w:rFonts w:ascii="Times New Roman" w:hAnsi="Times New Roman"/>
          <w:b/>
          <w:sz w:val="40"/>
        </w:rPr>
        <w:t>2023</w:t>
      </w:r>
      <w:r w:rsidRPr="00A410D1">
        <w:rPr>
          <w:rFonts w:ascii="Times New Roman" w:hAnsi="Times New Roman"/>
          <w:b/>
          <w:sz w:val="40"/>
        </w:rPr>
        <w:t xml:space="preserve"> </w:t>
      </w:r>
    </w:p>
    <w:p w14:paraId="781BB82A" w14:textId="7BBDEC19" w:rsidR="00B10A3E" w:rsidRDefault="00580390" w:rsidP="00B10A3E">
      <w:pPr>
        <w:pStyle w:val="PlainText"/>
        <w:spacing w:line="360" w:lineRule="auto"/>
        <w:jc w:val="center"/>
        <w:rPr>
          <w:rFonts w:ascii="Times New Roman" w:hAnsi="Times New Roman"/>
          <w:b/>
          <w:sz w:val="40"/>
        </w:rPr>
      </w:pPr>
      <w:r>
        <w:rPr>
          <w:rFonts w:ascii="Times New Roman" w:hAnsi="Times New Roman"/>
          <w:b/>
          <w:sz w:val="40"/>
        </w:rPr>
        <w:t xml:space="preserve">Utility Scale </w:t>
      </w:r>
      <w:r w:rsidR="00B8123E">
        <w:rPr>
          <w:rFonts w:ascii="Times New Roman" w:hAnsi="Times New Roman"/>
          <w:b/>
          <w:sz w:val="40"/>
        </w:rPr>
        <w:t xml:space="preserve">Renewable </w:t>
      </w:r>
      <w:r w:rsidRPr="00A410D1">
        <w:rPr>
          <w:rFonts w:ascii="Times New Roman" w:hAnsi="Times New Roman"/>
          <w:b/>
          <w:sz w:val="40"/>
        </w:rPr>
        <w:t>Power Purchase Agreements</w:t>
      </w:r>
      <w:bookmarkEnd w:id="0"/>
    </w:p>
    <w:p w14:paraId="5A7521F6" w14:textId="77777777" w:rsidR="00B10A3E" w:rsidRPr="004F1A74" w:rsidRDefault="00B10A3E" w:rsidP="00B10A3E">
      <w:pPr>
        <w:pStyle w:val="PlainText"/>
        <w:spacing w:line="360" w:lineRule="auto"/>
        <w:jc w:val="center"/>
        <w:rPr>
          <w:rFonts w:ascii="Times New Roman" w:hAnsi="Times New Roman"/>
          <w:b/>
          <w:sz w:val="40"/>
        </w:rPr>
      </w:pPr>
    </w:p>
    <w:p w14:paraId="5AA4BA33" w14:textId="77777777" w:rsidR="00B10A3E" w:rsidRPr="004F1A74" w:rsidRDefault="00B10A3E" w:rsidP="00B10A3E">
      <w:pPr>
        <w:pStyle w:val="PlainText"/>
        <w:spacing w:before="120" w:line="360" w:lineRule="auto"/>
        <w:jc w:val="center"/>
        <w:rPr>
          <w:rFonts w:ascii="Times New Roman" w:hAnsi="Times New Roman"/>
          <w:b/>
          <w:sz w:val="32"/>
          <w:szCs w:val="32"/>
        </w:rPr>
      </w:pPr>
    </w:p>
    <w:p w14:paraId="7C881C94" w14:textId="77777777" w:rsidR="00B10A3E" w:rsidRPr="004F1A74" w:rsidRDefault="00B10A3E" w:rsidP="00B10A3E">
      <w:pPr>
        <w:pStyle w:val="PlainText"/>
        <w:spacing w:before="120" w:line="360" w:lineRule="auto"/>
        <w:jc w:val="center"/>
        <w:rPr>
          <w:rFonts w:ascii="Times New Roman" w:hAnsi="Times New Roman"/>
          <w:b/>
          <w:sz w:val="32"/>
          <w:szCs w:val="32"/>
        </w:rPr>
      </w:pPr>
    </w:p>
    <w:p w14:paraId="0CBD42BE" w14:textId="58F76C39" w:rsidR="00B10A3E" w:rsidRPr="003C2094" w:rsidRDefault="00580390" w:rsidP="00B10A3E">
      <w:pPr>
        <w:pStyle w:val="PlainText"/>
        <w:spacing w:before="120" w:line="360" w:lineRule="auto"/>
        <w:jc w:val="center"/>
        <w:rPr>
          <w:rFonts w:ascii="Times New Roman" w:hAnsi="Times New Roman"/>
          <w:b/>
          <w:sz w:val="32"/>
          <w:szCs w:val="24"/>
        </w:rPr>
        <w:sectPr w:rsidR="00B10A3E" w:rsidRPr="003C2094" w:rsidSect="00B10A3E">
          <w:headerReference w:type="default" r:id="rId11"/>
          <w:footerReference w:type="default" r:id="rId12"/>
          <w:headerReference w:type="first" r:id="rId13"/>
          <w:footerReference w:type="first" r:id="rId14"/>
          <w:pgSz w:w="12240" w:h="15840" w:code="1"/>
          <w:pgMar w:top="1440" w:right="1440" w:bottom="1440" w:left="1440" w:header="576" w:footer="432" w:gutter="0"/>
          <w:pgNumType w:fmt="lowerRoman" w:start="1"/>
          <w:cols w:space="720"/>
          <w:titlePg/>
        </w:sectPr>
      </w:pPr>
      <w:r w:rsidRPr="004F1A74">
        <w:rPr>
          <w:rFonts w:ascii="Times New Roman" w:hAnsi="Times New Roman"/>
          <w:b/>
          <w:sz w:val="32"/>
          <w:szCs w:val="32"/>
        </w:rPr>
        <w:t>Docket No.</w:t>
      </w:r>
      <w:r w:rsidR="00C931F0">
        <w:rPr>
          <w:rFonts w:ascii="Times New Roman" w:hAnsi="Times New Roman"/>
          <w:b/>
          <w:sz w:val="32"/>
          <w:szCs w:val="32"/>
        </w:rPr>
        <w:t xml:space="preserve"> </w:t>
      </w:r>
      <w:r w:rsidR="003A2BAE">
        <w:rPr>
          <w:rFonts w:ascii="Times New Roman" w:hAnsi="Times New Roman"/>
          <w:b/>
          <w:sz w:val="32"/>
          <w:szCs w:val="24"/>
        </w:rPr>
        <w:t>56181</w:t>
      </w:r>
    </w:p>
    <w:p w14:paraId="53B638EE" w14:textId="77777777" w:rsidR="00B10A3E" w:rsidRPr="007C0C2E" w:rsidRDefault="00580390" w:rsidP="00B10A3E">
      <w:pPr>
        <w:pStyle w:val="PlainText"/>
        <w:spacing w:line="240" w:lineRule="auto"/>
        <w:jc w:val="center"/>
        <w:rPr>
          <w:rFonts w:ascii="Times New Roman" w:hAnsi="Times New Roman"/>
          <w:b/>
          <w:sz w:val="32"/>
          <w:szCs w:val="32"/>
        </w:rPr>
      </w:pPr>
      <w:r w:rsidRPr="007C0C2E">
        <w:rPr>
          <w:rFonts w:ascii="Times New Roman" w:hAnsi="Times New Roman"/>
          <w:b/>
          <w:sz w:val="32"/>
          <w:szCs w:val="32"/>
        </w:rPr>
        <w:lastRenderedPageBreak/>
        <w:t xml:space="preserve">Georgia Power Company’s Application </w:t>
      </w:r>
    </w:p>
    <w:p w14:paraId="10B2EE5C" w14:textId="52B4374C" w:rsidR="00B10A3E" w:rsidRPr="007C0C2E" w:rsidRDefault="00580390" w:rsidP="00B10A3E">
      <w:pPr>
        <w:pStyle w:val="PlainText"/>
        <w:spacing w:line="240" w:lineRule="auto"/>
        <w:jc w:val="center"/>
        <w:rPr>
          <w:rFonts w:ascii="Times New Roman" w:hAnsi="Times New Roman"/>
          <w:b/>
          <w:sz w:val="32"/>
          <w:szCs w:val="32"/>
        </w:rPr>
      </w:pPr>
      <w:r w:rsidRPr="007C0C2E">
        <w:rPr>
          <w:rFonts w:ascii="Times New Roman" w:hAnsi="Times New Roman"/>
          <w:b/>
          <w:sz w:val="32"/>
          <w:szCs w:val="32"/>
        </w:rPr>
        <w:t xml:space="preserve">for the Certification of the </w:t>
      </w:r>
      <w:r w:rsidR="00C42424">
        <w:rPr>
          <w:rFonts w:ascii="Times New Roman" w:hAnsi="Times New Roman"/>
          <w:b/>
          <w:sz w:val="32"/>
          <w:szCs w:val="32"/>
        </w:rPr>
        <w:t xml:space="preserve">CARES </w:t>
      </w:r>
      <w:r w:rsidR="005C7A31">
        <w:rPr>
          <w:rFonts w:ascii="Times New Roman" w:hAnsi="Times New Roman"/>
          <w:b/>
          <w:sz w:val="32"/>
          <w:szCs w:val="32"/>
        </w:rPr>
        <w:t>2023</w:t>
      </w:r>
      <w:r w:rsidRPr="007C0C2E">
        <w:rPr>
          <w:rFonts w:ascii="Times New Roman" w:hAnsi="Times New Roman"/>
          <w:b/>
          <w:sz w:val="32"/>
          <w:szCs w:val="32"/>
        </w:rPr>
        <w:t xml:space="preserve"> </w:t>
      </w:r>
    </w:p>
    <w:p w14:paraId="2DA50DFB" w14:textId="4167856E" w:rsidR="00B10A3E" w:rsidRDefault="00580390" w:rsidP="00B10A3E">
      <w:pPr>
        <w:pStyle w:val="PlainText"/>
        <w:spacing w:line="240" w:lineRule="auto"/>
        <w:jc w:val="center"/>
        <w:rPr>
          <w:rFonts w:ascii="Times New Roman" w:hAnsi="Times New Roman"/>
          <w:b/>
          <w:sz w:val="32"/>
          <w:szCs w:val="32"/>
        </w:rPr>
      </w:pPr>
      <w:r>
        <w:rPr>
          <w:rFonts w:ascii="Times New Roman" w:hAnsi="Times New Roman"/>
          <w:b/>
          <w:sz w:val="32"/>
          <w:szCs w:val="32"/>
        </w:rPr>
        <w:t>Utility Scale</w:t>
      </w:r>
      <w:r w:rsidR="00B8123E">
        <w:rPr>
          <w:rFonts w:ascii="Times New Roman" w:hAnsi="Times New Roman"/>
          <w:b/>
          <w:sz w:val="32"/>
          <w:szCs w:val="32"/>
        </w:rPr>
        <w:t xml:space="preserve"> Renewable</w:t>
      </w:r>
      <w:r>
        <w:rPr>
          <w:rFonts w:ascii="Times New Roman" w:hAnsi="Times New Roman"/>
          <w:b/>
          <w:sz w:val="32"/>
          <w:szCs w:val="32"/>
        </w:rPr>
        <w:t xml:space="preserve"> </w:t>
      </w:r>
      <w:r w:rsidRPr="007C0C2E">
        <w:rPr>
          <w:rFonts w:ascii="Times New Roman" w:hAnsi="Times New Roman"/>
          <w:b/>
          <w:sz w:val="32"/>
          <w:szCs w:val="32"/>
        </w:rPr>
        <w:t>Power Purchase Agreements</w:t>
      </w:r>
      <w:r w:rsidRPr="00A410D1">
        <w:rPr>
          <w:rFonts w:ascii="Times New Roman" w:hAnsi="Times New Roman"/>
          <w:b/>
          <w:sz w:val="40"/>
        </w:rPr>
        <w:t xml:space="preserve"> </w:t>
      </w:r>
    </w:p>
    <w:p w14:paraId="301631F9" w14:textId="210CD57D" w:rsidR="00B10A3E" w:rsidRDefault="00580390" w:rsidP="00B10A3E">
      <w:pPr>
        <w:pStyle w:val="PlainText"/>
        <w:spacing w:line="240" w:lineRule="auto"/>
        <w:jc w:val="center"/>
        <w:rPr>
          <w:rFonts w:ascii="Times New Roman" w:hAnsi="Times New Roman"/>
          <w:b/>
          <w:sz w:val="32"/>
          <w:szCs w:val="32"/>
        </w:rPr>
      </w:pPr>
      <w:r>
        <w:rPr>
          <w:rFonts w:ascii="Times New Roman" w:hAnsi="Times New Roman"/>
          <w:b/>
          <w:sz w:val="32"/>
          <w:szCs w:val="32"/>
        </w:rPr>
        <w:t xml:space="preserve">Docket No. </w:t>
      </w:r>
      <w:r w:rsidR="003A2BAE">
        <w:rPr>
          <w:rFonts w:ascii="Times New Roman" w:hAnsi="Times New Roman"/>
          <w:b/>
          <w:sz w:val="32"/>
          <w:szCs w:val="32"/>
        </w:rPr>
        <w:t>56181</w:t>
      </w:r>
    </w:p>
    <w:p w14:paraId="5E87E47D" w14:textId="77777777" w:rsidR="00B10A3E" w:rsidRDefault="00B10A3E" w:rsidP="00B10A3E">
      <w:pPr>
        <w:pStyle w:val="PlainText"/>
        <w:spacing w:line="240" w:lineRule="auto"/>
        <w:jc w:val="center"/>
        <w:rPr>
          <w:rFonts w:ascii="Times New Roman" w:hAnsi="Times New Roman"/>
          <w:b/>
          <w:sz w:val="32"/>
          <w:szCs w:val="32"/>
        </w:rPr>
      </w:pPr>
    </w:p>
    <w:p w14:paraId="1E5570BF" w14:textId="77777777" w:rsidR="00B10A3E" w:rsidRDefault="00B10A3E" w:rsidP="00B10A3E">
      <w:pPr>
        <w:pStyle w:val="PlainText"/>
        <w:spacing w:line="240" w:lineRule="auto"/>
        <w:jc w:val="center"/>
        <w:rPr>
          <w:rFonts w:ascii="Times New Roman" w:hAnsi="Times New Roman"/>
          <w:b/>
          <w:sz w:val="32"/>
          <w:szCs w:val="32"/>
        </w:rPr>
      </w:pPr>
    </w:p>
    <w:p w14:paraId="4ED300FD" w14:textId="77777777" w:rsidR="00B10A3E" w:rsidRPr="0098520F" w:rsidRDefault="00B10A3E" w:rsidP="00B10A3E">
      <w:pPr>
        <w:pStyle w:val="PlainText"/>
        <w:spacing w:line="240" w:lineRule="auto"/>
        <w:jc w:val="center"/>
        <w:rPr>
          <w:rFonts w:ascii="Times New Roman" w:hAnsi="Times New Roman"/>
          <w:b/>
          <w:sz w:val="32"/>
          <w:szCs w:val="32"/>
        </w:rPr>
      </w:pPr>
    </w:p>
    <w:p w14:paraId="0FD9CD32" w14:textId="77777777" w:rsidR="00B10A3E" w:rsidRPr="00F87C3D" w:rsidRDefault="00580390" w:rsidP="00B10A3E">
      <w:pPr>
        <w:ind w:left="720"/>
        <w:rPr>
          <w:b/>
          <w:sz w:val="24"/>
          <w:szCs w:val="24"/>
        </w:rPr>
      </w:pPr>
      <w:r w:rsidRPr="00F87C3D">
        <w:rPr>
          <w:b/>
          <w:sz w:val="24"/>
          <w:szCs w:val="24"/>
        </w:rPr>
        <w:t>Appli</w:t>
      </w:r>
      <w:r>
        <w:rPr>
          <w:b/>
          <w:sz w:val="24"/>
          <w:szCs w:val="24"/>
        </w:rPr>
        <w:t>cant name, address and principal</w:t>
      </w:r>
      <w:r w:rsidRPr="00F87C3D">
        <w:rPr>
          <w:b/>
          <w:sz w:val="24"/>
          <w:szCs w:val="24"/>
        </w:rPr>
        <w:t xml:space="preserve"> place of business:</w:t>
      </w:r>
    </w:p>
    <w:p w14:paraId="31A19E21" w14:textId="77777777" w:rsidR="00B10A3E" w:rsidRPr="00F87C3D" w:rsidRDefault="00B10A3E" w:rsidP="00B10A3E">
      <w:pPr>
        <w:ind w:left="360"/>
        <w:rPr>
          <w:sz w:val="24"/>
          <w:szCs w:val="24"/>
        </w:rPr>
      </w:pPr>
    </w:p>
    <w:p w14:paraId="203C1CDA" w14:textId="77777777" w:rsidR="00B10A3E" w:rsidRPr="00F87C3D" w:rsidRDefault="00580390" w:rsidP="00B10A3E">
      <w:pPr>
        <w:ind w:left="1080"/>
        <w:rPr>
          <w:sz w:val="24"/>
          <w:szCs w:val="24"/>
        </w:rPr>
      </w:pPr>
      <w:r w:rsidRPr="00F87C3D">
        <w:rPr>
          <w:sz w:val="24"/>
          <w:szCs w:val="24"/>
        </w:rPr>
        <w:t>Georgia Power Company</w:t>
      </w:r>
    </w:p>
    <w:p w14:paraId="3D2B87E6" w14:textId="77777777" w:rsidR="00B10A3E" w:rsidRPr="00F87C3D" w:rsidRDefault="00580390" w:rsidP="00B10A3E">
      <w:pPr>
        <w:ind w:left="1080"/>
        <w:rPr>
          <w:sz w:val="24"/>
          <w:szCs w:val="24"/>
        </w:rPr>
      </w:pPr>
      <w:r w:rsidRPr="00F87C3D">
        <w:rPr>
          <w:sz w:val="24"/>
          <w:szCs w:val="24"/>
        </w:rPr>
        <w:t>241 Ralph McGill Blvd NE</w:t>
      </w:r>
    </w:p>
    <w:p w14:paraId="4A095EF1" w14:textId="77777777" w:rsidR="00B10A3E" w:rsidRPr="00F87C3D" w:rsidRDefault="00580390" w:rsidP="00B10A3E">
      <w:pPr>
        <w:ind w:left="1080"/>
        <w:rPr>
          <w:sz w:val="24"/>
          <w:szCs w:val="24"/>
        </w:rPr>
      </w:pPr>
      <w:r w:rsidRPr="00F87C3D">
        <w:rPr>
          <w:sz w:val="24"/>
          <w:szCs w:val="24"/>
        </w:rPr>
        <w:t>Atlanta, Georgia</w:t>
      </w:r>
      <w:r>
        <w:rPr>
          <w:sz w:val="24"/>
          <w:szCs w:val="24"/>
        </w:rPr>
        <w:t>,</w:t>
      </w:r>
      <w:r w:rsidRPr="00F87C3D">
        <w:rPr>
          <w:sz w:val="24"/>
          <w:szCs w:val="24"/>
        </w:rPr>
        <w:t xml:space="preserve"> 30308</w:t>
      </w:r>
    </w:p>
    <w:p w14:paraId="648C1BF7" w14:textId="77777777" w:rsidR="00B10A3E" w:rsidRDefault="00B10A3E" w:rsidP="00B10A3E">
      <w:pPr>
        <w:ind w:left="1080"/>
        <w:rPr>
          <w:sz w:val="24"/>
          <w:szCs w:val="24"/>
        </w:rPr>
      </w:pPr>
    </w:p>
    <w:p w14:paraId="6E19B974" w14:textId="77777777" w:rsidR="00B10A3E" w:rsidRPr="00F87C3D" w:rsidRDefault="00B10A3E" w:rsidP="00B10A3E">
      <w:pPr>
        <w:ind w:left="1080"/>
        <w:rPr>
          <w:sz w:val="24"/>
          <w:szCs w:val="24"/>
        </w:rPr>
      </w:pPr>
    </w:p>
    <w:p w14:paraId="6BEC9877" w14:textId="77777777" w:rsidR="00B10A3E" w:rsidRPr="00F87C3D" w:rsidRDefault="00580390" w:rsidP="00B10A3E">
      <w:pPr>
        <w:ind w:left="720"/>
        <w:rPr>
          <w:b/>
          <w:sz w:val="24"/>
          <w:szCs w:val="24"/>
        </w:rPr>
      </w:pPr>
      <w:r w:rsidRPr="00F87C3D">
        <w:rPr>
          <w:b/>
          <w:sz w:val="24"/>
          <w:szCs w:val="24"/>
        </w:rPr>
        <w:t>Authorized person to receive notices or communications with respect to application:</w:t>
      </w:r>
    </w:p>
    <w:p w14:paraId="6EA1FAD9" w14:textId="77777777" w:rsidR="00B10A3E" w:rsidRPr="00F87C3D" w:rsidRDefault="00B10A3E" w:rsidP="00B10A3E">
      <w:pPr>
        <w:rPr>
          <w:sz w:val="24"/>
          <w:szCs w:val="24"/>
        </w:rPr>
      </w:pPr>
    </w:p>
    <w:p w14:paraId="57214D25" w14:textId="374B8B7C" w:rsidR="00B10A3E" w:rsidRPr="004118CA" w:rsidRDefault="00753276" w:rsidP="00B10A3E">
      <w:pPr>
        <w:ind w:left="1080"/>
        <w:rPr>
          <w:sz w:val="24"/>
          <w:szCs w:val="24"/>
        </w:rPr>
      </w:pPr>
      <w:r w:rsidRPr="004118CA">
        <w:rPr>
          <w:sz w:val="24"/>
          <w:szCs w:val="24"/>
        </w:rPr>
        <w:t>Cheryl Johnson</w:t>
      </w:r>
    </w:p>
    <w:p w14:paraId="33995717" w14:textId="77777777" w:rsidR="00B10A3E" w:rsidRPr="00A968B3" w:rsidRDefault="00580390" w:rsidP="00B10A3E">
      <w:pPr>
        <w:ind w:left="1080"/>
        <w:rPr>
          <w:sz w:val="24"/>
          <w:szCs w:val="24"/>
        </w:rPr>
      </w:pPr>
      <w:r w:rsidRPr="00766EAC">
        <w:rPr>
          <w:sz w:val="24"/>
          <w:szCs w:val="24"/>
        </w:rPr>
        <w:t>Regulatory Affairs, BIN 10230</w:t>
      </w:r>
    </w:p>
    <w:p w14:paraId="1CAECE3F" w14:textId="77777777" w:rsidR="00B10A3E" w:rsidRPr="00A968B3" w:rsidRDefault="00580390" w:rsidP="00B10A3E">
      <w:pPr>
        <w:ind w:left="1080"/>
        <w:rPr>
          <w:sz w:val="24"/>
          <w:szCs w:val="24"/>
        </w:rPr>
      </w:pPr>
      <w:r w:rsidRPr="00A968B3">
        <w:rPr>
          <w:sz w:val="24"/>
          <w:szCs w:val="24"/>
        </w:rPr>
        <w:t>Georgia Power Company</w:t>
      </w:r>
    </w:p>
    <w:p w14:paraId="792B05E6" w14:textId="77777777" w:rsidR="00B10A3E" w:rsidRPr="00A968B3" w:rsidRDefault="00580390" w:rsidP="00B10A3E">
      <w:pPr>
        <w:ind w:left="1080"/>
        <w:rPr>
          <w:sz w:val="24"/>
          <w:szCs w:val="24"/>
        </w:rPr>
      </w:pPr>
      <w:r w:rsidRPr="00A968B3">
        <w:rPr>
          <w:sz w:val="24"/>
          <w:szCs w:val="24"/>
        </w:rPr>
        <w:t>241 Ralph McGill Blvd NE</w:t>
      </w:r>
    </w:p>
    <w:p w14:paraId="028E3F8B" w14:textId="77777777" w:rsidR="00B10A3E" w:rsidRPr="00A968B3" w:rsidRDefault="00580390" w:rsidP="00B10A3E">
      <w:pPr>
        <w:ind w:left="1080"/>
        <w:rPr>
          <w:sz w:val="24"/>
          <w:szCs w:val="24"/>
        </w:rPr>
      </w:pPr>
      <w:r w:rsidRPr="00A968B3">
        <w:rPr>
          <w:sz w:val="24"/>
          <w:szCs w:val="24"/>
        </w:rPr>
        <w:t>Atlanta, Georgia</w:t>
      </w:r>
      <w:r>
        <w:rPr>
          <w:sz w:val="24"/>
          <w:szCs w:val="24"/>
        </w:rPr>
        <w:t>,</w:t>
      </w:r>
      <w:r w:rsidRPr="00A968B3">
        <w:rPr>
          <w:sz w:val="24"/>
          <w:szCs w:val="24"/>
        </w:rPr>
        <w:t xml:space="preserve"> 30308</w:t>
      </w:r>
    </w:p>
    <w:p w14:paraId="26287C0F" w14:textId="6832F0E2" w:rsidR="00B10A3E" w:rsidRPr="00A968B3" w:rsidRDefault="00580390" w:rsidP="00B10A3E">
      <w:pPr>
        <w:ind w:left="1080"/>
        <w:rPr>
          <w:sz w:val="24"/>
          <w:szCs w:val="24"/>
        </w:rPr>
      </w:pPr>
      <w:r>
        <w:rPr>
          <w:sz w:val="24"/>
          <w:szCs w:val="24"/>
        </w:rPr>
        <w:t xml:space="preserve">Voice: </w:t>
      </w:r>
      <w:r w:rsidRPr="00A968B3">
        <w:rPr>
          <w:sz w:val="24"/>
          <w:szCs w:val="24"/>
        </w:rPr>
        <w:t>404-506-</w:t>
      </w:r>
      <w:r w:rsidR="00753276">
        <w:rPr>
          <w:sz w:val="24"/>
          <w:szCs w:val="24"/>
        </w:rPr>
        <w:t>6837</w:t>
      </w:r>
    </w:p>
    <w:p w14:paraId="7A2C06A4" w14:textId="65CF76BB" w:rsidR="00B10A3E" w:rsidRPr="00F87C3D" w:rsidRDefault="00753276" w:rsidP="00B10A3E">
      <w:pPr>
        <w:ind w:left="1080"/>
        <w:rPr>
          <w:sz w:val="24"/>
          <w:szCs w:val="24"/>
        </w:rPr>
      </w:pPr>
      <w:r>
        <w:rPr>
          <w:sz w:val="24"/>
          <w:szCs w:val="24"/>
        </w:rPr>
        <w:t>Email: cljohnso@southernco.com</w:t>
      </w:r>
    </w:p>
    <w:p w14:paraId="0607C575" w14:textId="77777777" w:rsidR="00B10A3E" w:rsidRDefault="00B10A3E" w:rsidP="00B10A3E">
      <w:pPr>
        <w:ind w:left="1080"/>
        <w:rPr>
          <w:sz w:val="24"/>
          <w:szCs w:val="24"/>
        </w:rPr>
      </w:pPr>
    </w:p>
    <w:p w14:paraId="732EC0FD" w14:textId="77777777" w:rsidR="00B10A3E" w:rsidRPr="00F87C3D" w:rsidRDefault="00B10A3E" w:rsidP="00B10A3E">
      <w:pPr>
        <w:ind w:left="1080"/>
        <w:rPr>
          <w:sz w:val="24"/>
          <w:szCs w:val="24"/>
        </w:rPr>
      </w:pPr>
    </w:p>
    <w:p w14:paraId="63AE9F8C" w14:textId="77777777" w:rsidR="00B10A3E" w:rsidRPr="00F87C3D" w:rsidRDefault="00580390" w:rsidP="00B10A3E">
      <w:pPr>
        <w:ind w:left="720"/>
        <w:rPr>
          <w:b/>
          <w:sz w:val="24"/>
          <w:szCs w:val="24"/>
        </w:rPr>
      </w:pPr>
      <w:r w:rsidRPr="00F87C3D">
        <w:rPr>
          <w:b/>
          <w:sz w:val="24"/>
          <w:szCs w:val="24"/>
        </w:rPr>
        <w:t>Location for public inspection:</w:t>
      </w:r>
    </w:p>
    <w:p w14:paraId="3D2B9E98" w14:textId="77777777" w:rsidR="00B10A3E" w:rsidRPr="00F87C3D" w:rsidRDefault="00B10A3E" w:rsidP="00B10A3E">
      <w:pPr>
        <w:rPr>
          <w:sz w:val="24"/>
          <w:szCs w:val="24"/>
        </w:rPr>
      </w:pPr>
    </w:p>
    <w:p w14:paraId="4D6FF3CD" w14:textId="77777777" w:rsidR="00B10A3E" w:rsidRPr="00F87C3D" w:rsidRDefault="00580390" w:rsidP="00B10A3E">
      <w:pPr>
        <w:ind w:left="1080"/>
        <w:rPr>
          <w:sz w:val="24"/>
          <w:szCs w:val="24"/>
        </w:rPr>
      </w:pPr>
      <w:r w:rsidRPr="00F87C3D">
        <w:rPr>
          <w:sz w:val="24"/>
          <w:szCs w:val="24"/>
        </w:rPr>
        <w:t>Georgia Power Company</w:t>
      </w:r>
    </w:p>
    <w:p w14:paraId="5AE8DD5B" w14:textId="77777777" w:rsidR="00B10A3E" w:rsidRPr="00F87C3D" w:rsidRDefault="00580390" w:rsidP="00B10A3E">
      <w:pPr>
        <w:ind w:left="1080"/>
        <w:rPr>
          <w:sz w:val="24"/>
          <w:szCs w:val="24"/>
        </w:rPr>
      </w:pPr>
      <w:r w:rsidRPr="00F87C3D">
        <w:rPr>
          <w:sz w:val="24"/>
          <w:szCs w:val="24"/>
        </w:rPr>
        <w:t>241 Ralph McGill Blvd NE</w:t>
      </w:r>
    </w:p>
    <w:p w14:paraId="14A192C9" w14:textId="0BA1C059" w:rsidR="00B10A3E" w:rsidRPr="00555937" w:rsidRDefault="00580390" w:rsidP="00555937">
      <w:pPr>
        <w:ind w:left="1080"/>
        <w:rPr>
          <w:sz w:val="24"/>
          <w:szCs w:val="24"/>
        </w:rPr>
        <w:sectPr w:rsidR="00B10A3E" w:rsidRPr="00555937" w:rsidSect="00B10A3E">
          <w:footerReference w:type="first" r:id="rId15"/>
          <w:pgSz w:w="12240" w:h="15840" w:code="1"/>
          <w:pgMar w:top="1440" w:right="1440" w:bottom="1440" w:left="1440" w:header="576" w:footer="432" w:gutter="0"/>
          <w:pgNumType w:fmt="lowerRoman" w:start="1"/>
          <w:cols w:space="720"/>
          <w:titlePg/>
        </w:sectPr>
      </w:pPr>
      <w:r w:rsidRPr="00F87C3D">
        <w:rPr>
          <w:sz w:val="24"/>
          <w:szCs w:val="24"/>
        </w:rPr>
        <w:t>Atlanta, Georgia</w:t>
      </w:r>
      <w:r>
        <w:rPr>
          <w:sz w:val="24"/>
          <w:szCs w:val="24"/>
        </w:rPr>
        <w:t>,</w:t>
      </w:r>
      <w:r w:rsidRPr="00F87C3D">
        <w:rPr>
          <w:sz w:val="24"/>
          <w:szCs w:val="24"/>
        </w:rPr>
        <w:t xml:space="preserve"> 30308</w:t>
      </w:r>
    </w:p>
    <w:p w14:paraId="1588E51D" w14:textId="77777777" w:rsidR="00B10A3E" w:rsidRDefault="00B10A3E" w:rsidP="00B10A3E">
      <w:pPr>
        <w:pStyle w:val="PlainText"/>
        <w:spacing w:before="120" w:line="240" w:lineRule="auto"/>
        <w:jc w:val="center"/>
        <w:rPr>
          <w:rFonts w:ascii="Times New Roman" w:hAnsi="Times New Roman"/>
          <w:b/>
          <w:szCs w:val="24"/>
        </w:rPr>
      </w:pPr>
    </w:p>
    <w:p w14:paraId="3FCA56F0" w14:textId="77777777" w:rsidR="00B10A3E" w:rsidRDefault="00B10A3E" w:rsidP="00B10A3E">
      <w:pPr>
        <w:pStyle w:val="PlainText"/>
        <w:spacing w:line="240" w:lineRule="auto"/>
        <w:ind w:left="1440" w:right="1440"/>
        <w:jc w:val="center"/>
        <w:rPr>
          <w:rFonts w:ascii="Times New Roman" w:hAnsi="Times New Roman"/>
          <w:b/>
        </w:rPr>
        <w:sectPr w:rsidR="00B10A3E" w:rsidSect="00B10A3E">
          <w:footerReference w:type="default" r:id="rId16"/>
          <w:footerReference w:type="first" r:id="rId17"/>
          <w:type w:val="continuous"/>
          <w:pgSz w:w="12240" w:h="15840" w:code="1"/>
          <w:pgMar w:top="1440" w:right="1440" w:bottom="1440" w:left="1440" w:header="576" w:footer="720" w:gutter="0"/>
          <w:cols w:space="720"/>
          <w:noEndnote/>
          <w:titlePg/>
        </w:sectPr>
      </w:pPr>
    </w:p>
    <w:p w14:paraId="50760104" w14:textId="77777777" w:rsidR="00B10A3E" w:rsidRPr="001B1057" w:rsidRDefault="00580390" w:rsidP="00B10A3E">
      <w:pPr>
        <w:pStyle w:val="PlainText"/>
        <w:spacing w:line="240" w:lineRule="auto"/>
        <w:ind w:left="1440" w:right="1440"/>
        <w:jc w:val="center"/>
        <w:rPr>
          <w:rFonts w:ascii="Times New Roman" w:hAnsi="Times New Roman"/>
          <w:b/>
        </w:rPr>
      </w:pPr>
      <w:r w:rsidRPr="003C2094">
        <w:rPr>
          <w:rFonts w:ascii="Times New Roman" w:hAnsi="Times New Roman"/>
          <w:b/>
        </w:rPr>
        <w:lastRenderedPageBreak/>
        <w:t>Affidavit and Basis for the A</w:t>
      </w:r>
      <w:r>
        <w:rPr>
          <w:rFonts w:ascii="Times New Roman" w:hAnsi="Times New Roman"/>
          <w:b/>
        </w:rPr>
        <w:t xml:space="preserve">ssertion That Redacted Portions </w:t>
      </w:r>
      <w:r w:rsidRPr="003C2094">
        <w:rPr>
          <w:rFonts w:ascii="Times New Roman" w:hAnsi="Times New Roman"/>
          <w:b/>
        </w:rPr>
        <w:t xml:space="preserve">of </w:t>
      </w:r>
      <w:r w:rsidRPr="001B1057">
        <w:rPr>
          <w:rFonts w:ascii="Times New Roman" w:hAnsi="Times New Roman"/>
          <w:b/>
        </w:rPr>
        <w:t xml:space="preserve">Georgia Power Company’s Application </w:t>
      </w:r>
    </w:p>
    <w:p w14:paraId="5A11C966" w14:textId="34A71C2A" w:rsidR="00B10A3E" w:rsidRPr="003C2094" w:rsidRDefault="00580390" w:rsidP="00B10A3E">
      <w:pPr>
        <w:pStyle w:val="PlainText"/>
        <w:spacing w:line="240" w:lineRule="auto"/>
        <w:ind w:left="1440" w:right="1440"/>
        <w:jc w:val="center"/>
        <w:rPr>
          <w:rFonts w:ascii="Times New Roman" w:hAnsi="Times New Roman"/>
          <w:b/>
        </w:rPr>
      </w:pPr>
      <w:r>
        <w:rPr>
          <w:rFonts w:ascii="Times New Roman" w:hAnsi="Times New Roman"/>
          <w:b/>
        </w:rPr>
        <w:t>F</w:t>
      </w:r>
      <w:r w:rsidRPr="001B1057">
        <w:rPr>
          <w:rFonts w:ascii="Times New Roman" w:hAnsi="Times New Roman"/>
          <w:b/>
        </w:rPr>
        <w:t xml:space="preserve">or the </w:t>
      </w:r>
      <w:bookmarkStart w:id="1" w:name="_Hlk496190147"/>
      <w:r w:rsidRPr="001B1057">
        <w:rPr>
          <w:rFonts w:ascii="Times New Roman" w:hAnsi="Times New Roman"/>
          <w:b/>
        </w:rPr>
        <w:t xml:space="preserve">Certification of the </w:t>
      </w:r>
      <w:r w:rsidR="00A06317">
        <w:rPr>
          <w:rFonts w:ascii="Times New Roman" w:hAnsi="Times New Roman"/>
          <w:b/>
        </w:rPr>
        <w:t xml:space="preserve">CARES </w:t>
      </w:r>
      <w:r w:rsidR="00F61D77">
        <w:rPr>
          <w:rFonts w:ascii="Times New Roman" w:hAnsi="Times New Roman"/>
          <w:b/>
        </w:rPr>
        <w:t>2023</w:t>
      </w:r>
      <w:r>
        <w:rPr>
          <w:rFonts w:ascii="Times New Roman" w:hAnsi="Times New Roman"/>
          <w:b/>
        </w:rPr>
        <w:t xml:space="preserve"> Utility Scale </w:t>
      </w:r>
      <w:r w:rsidR="00CB2D06">
        <w:rPr>
          <w:rFonts w:ascii="Times New Roman" w:hAnsi="Times New Roman"/>
          <w:b/>
        </w:rPr>
        <w:t xml:space="preserve">Renewable </w:t>
      </w:r>
      <w:r>
        <w:rPr>
          <w:rFonts w:ascii="Times New Roman" w:hAnsi="Times New Roman"/>
          <w:b/>
        </w:rPr>
        <w:t xml:space="preserve">Power </w:t>
      </w:r>
      <w:r w:rsidRPr="001B1057">
        <w:rPr>
          <w:rFonts w:ascii="Times New Roman" w:hAnsi="Times New Roman"/>
          <w:b/>
        </w:rPr>
        <w:t xml:space="preserve">Purchase Agreements </w:t>
      </w:r>
      <w:bookmarkEnd w:id="1"/>
      <w:r w:rsidRPr="0098520F">
        <w:rPr>
          <w:rFonts w:ascii="Times New Roman" w:hAnsi="Times New Roman"/>
          <w:b/>
        </w:rPr>
        <w:t xml:space="preserve">are </w:t>
      </w:r>
      <w:r>
        <w:rPr>
          <w:rFonts w:ascii="Times New Roman" w:hAnsi="Times New Roman"/>
          <w:b/>
        </w:rPr>
        <w:t xml:space="preserve">Protected as Trade </w:t>
      </w:r>
      <w:r w:rsidRPr="003C2094">
        <w:rPr>
          <w:rFonts w:ascii="Times New Roman" w:hAnsi="Times New Roman"/>
          <w:b/>
        </w:rPr>
        <w:t>Secret</w:t>
      </w:r>
    </w:p>
    <w:p w14:paraId="77682AD0" w14:textId="77777777" w:rsidR="00B10A3E" w:rsidRDefault="00B10A3E" w:rsidP="00B10A3E">
      <w:pPr>
        <w:pStyle w:val="PlainText"/>
        <w:spacing w:before="120" w:line="240" w:lineRule="auto"/>
        <w:ind w:left="1440"/>
        <w:jc w:val="center"/>
        <w:rPr>
          <w:rFonts w:ascii="Times New Roman" w:hAnsi="Times New Roman"/>
          <w:b/>
          <w:sz w:val="22"/>
          <w:szCs w:val="24"/>
        </w:rPr>
      </w:pPr>
    </w:p>
    <w:p w14:paraId="723F68D1" w14:textId="295C615A" w:rsidR="00B10A3E" w:rsidRPr="00945FC0" w:rsidRDefault="00580390" w:rsidP="00B10A3E">
      <w:pPr>
        <w:jc w:val="both"/>
        <w:rPr>
          <w:bCs/>
          <w:sz w:val="24"/>
          <w:szCs w:val="24"/>
        </w:rPr>
      </w:pPr>
      <w:r w:rsidRPr="00C82A36">
        <w:t xml:space="preserve"> </w:t>
      </w:r>
      <w:r>
        <w:tab/>
      </w:r>
      <w:r>
        <w:rPr>
          <w:bCs/>
          <w:sz w:val="24"/>
          <w:szCs w:val="24"/>
        </w:rPr>
        <w:t xml:space="preserve">As part of its </w:t>
      </w:r>
      <w:r w:rsidRPr="001B1057">
        <w:rPr>
          <w:bCs/>
          <w:sz w:val="24"/>
          <w:szCs w:val="24"/>
        </w:rPr>
        <w:t xml:space="preserve">Application for the </w:t>
      </w:r>
      <w:r w:rsidRPr="0018088C">
        <w:rPr>
          <w:bCs/>
          <w:sz w:val="24"/>
          <w:szCs w:val="24"/>
        </w:rPr>
        <w:t xml:space="preserve">Certification of the </w:t>
      </w:r>
      <w:r w:rsidR="00A06317">
        <w:rPr>
          <w:bCs/>
          <w:sz w:val="24"/>
          <w:szCs w:val="24"/>
        </w:rPr>
        <w:t xml:space="preserve">CARES </w:t>
      </w:r>
      <w:r w:rsidR="00F61D77">
        <w:rPr>
          <w:bCs/>
          <w:sz w:val="24"/>
          <w:szCs w:val="24"/>
        </w:rPr>
        <w:t>2023</w:t>
      </w:r>
      <w:r w:rsidRPr="0018088C">
        <w:rPr>
          <w:bCs/>
          <w:sz w:val="24"/>
          <w:szCs w:val="24"/>
        </w:rPr>
        <w:t xml:space="preserve"> </w:t>
      </w:r>
      <w:r>
        <w:rPr>
          <w:bCs/>
          <w:sz w:val="24"/>
          <w:szCs w:val="24"/>
        </w:rPr>
        <w:t xml:space="preserve">Utility Scale </w:t>
      </w:r>
      <w:r w:rsidR="00F61D77">
        <w:rPr>
          <w:bCs/>
          <w:sz w:val="24"/>
          <w:szCs w:val="24"/>
        </w:rPr>
        <w:t xml:space="preserve">Renewable </w:t>
      </w:r>
      <w:r>
        <w:rPr>
          <w:bCs/>
          <w:sz w:val="24"/>
          <w:szCs w:val="24"/>
        </w:rPr>
        <w:t xml:space="preserve">Power </w:t>
      </w:r>
      <w:r w:rsidRPr="0018088C">
        <w:rPr>
          <w:bCs/>
          <w:sz w:val="24"/>
          <w:szCs w:val="24"/>
        </w:rPr>
        <w:t xml:space="preserve">Purchase Agreements </w:t>
      </w:r>
      <w:r w:rsidRPr="00365920">
        <w:rPr>
          <w:bCs/>
          <w:sz w:val="24"/>
          <w:szCs w:val="24"/>
        </w:rPr>
        <w:t xml:space="preserve">in Docket No. </w:t>
      </w:r>
      <w:r w:rsidR="003A2BAE">
        <w:rPr>
          <w:bCs/>
          <w:sz w:val="24"/>
          <w:szCs w:val="24"/>
        </w:rPr>
        <w:t>56181</w:t>
      </w:r>
      <w:r w:rsidRPr="00365920">
        <w:rPr>
          <w:bCs/>
          <w:sz w:val="24"/>
          <w:szCs w:val="24"/>
        </w:rPr>
        <w:t>,</w:t>
      </w:r>
      <w:r>
        <w:rPr>
          <w:bCs/>
          <w:sz w:val="24"/>
          <w:szCs w:val="24"/>
        </w:rPr>
        <w:t xml:space="preserve"> (the “Application”)</w:t>
      </w:r>
      <w:r w:rsidRPr="00365920">
        <w:rPr>
          <w:bCs/>
          <w:sz w:val="24"/>
          <w:szCs w:val="24"/>
        </w:rPr>
        <w:t xml:space="preserve"> Georgia Power Company (“Georgia Power” </w:t>
      </w:r>
      <w:r w:rsidRPr="00945FC0">
        <w:rPr>
          <w:bCs/>
          <w:sz w:val="24"/>
          <w:szCs w:val="24"/>
        </w:rPr>
        <w:t xml:space="preserve">or the “Company”) is submitting to the Georgia Public Service Commission (the “Commission”) copies of certain Power Purchase Agreements (“PPAs”), economic analysis, </w:t>
      </w:r>
      <w:r w:rsidR="00F626DB">
        <w:rPr>
          <w:bCs/>
          <w:sz w:val="24"/>
          <w:szCs w:val="24"/>
        </w:rPr>
        <w:t xml:space="preserve">and pricing information </w:t>
      </w:r>
      <w:r w:rsidRPr="00945FC0">
        <w:rPr>
          <w:bCs/>
          <w:sz w:val="24"/>
          <w:szCs w:val="24"/>
        </w:rPr>
        <w:t>(the “Information”). The trade secret portions of the Information (as highlighted) constitute trade secret information of Georgia Power and its affiliates, and its PPA counterparties, and is therefore protected from disclosure under Commission Rule 515-3-1-.11.</w:t>
      </w:r>
    </w:p>
    <w:p w14:paraId="05A5127D" w14:textId="77777777" w:rsidR="00B10A3E" w:rsidRPr="00945FC0" w:rsidRDefault="00B10A3E" w:rsidP="00B10A3E">
      <w:pPr>
        <w:jc w:val="both"/>
        <w:rPr>
          <w:bCs/>
          <w:sz w:val="24"/>
          <w:szCs w:val="24"/>
        </w:rPr>
      </w:pPr>
    </w:p>
    <w:p w14:paraId="28C302EE" w14:textId="78C3BBCF" w:rsidR="00B10A3E" w:rsidRPr="00945FC0" w:rsidRDefault="00580390" w:rsidP="00B10A3E">
      <w:pPr>
        <w:jc w:val="both"/>
        <w:rPr>
          <w:bCs/>
          <w:sz w:val="24"/>
          <w:szCs w:val="24"/>
        </w:rPr>
      </w:pPr>
      <w:r w:rsidRPr="00945FC0">
        <w:rPr>
          <w:bCs/>
          <w:sz w:val="24"/>
          <w:szCs w:val="24"/>
        </w:rPr>
        <w:tab/>
        <w:t xml:space="preserve">The trade secret portions of the Information derive economic value from not being generally known to, and not being readily ascertainable by proper means by other persons who can obtain economic value from their disclosure or use. </w:t>
      </w:r>
      <w:r w:rsidRPr="00945FC0">
        <w:rPr>
          <w:sz w:val="24"/>
          <w:szCs w:val="24"/>
        </w:rPr>
        <w:t>Specifically, the redacted terms of each PPA contain pricing, performance security, liquidated damages, contracted energy amounts</w:t>
      </w:r>
      <w:r w:rsidR="001859B1" w:rsidRPr="00945FC0">
        <w:rPr>
          <w:sz w:val="24"/>
          <w:szCs w:val="24"/>
        </w:rPr>
        <w:t>, technology-specific technical specifications,</w:t>
      </w:r>
      <w:r w:rsidRPr="00945FC0">
        <w:rPr>
          <w:sz w:val="24"/>
          <w:szCs w:val="24"/>
        </w:rPr>
        <w:t xml:space="preserve"> and other delivery parameters that are specific to the winning bids.</w:t>
      </w:r>
      <w:r w:rsidRPr="00945FC0">
        <w:rPr>
          <w:bCs/>
          <w:sz w:val="24"/>
          <w:szCs w:val="24"/>
        </w:rPr>
        <w:t xml:space="preserve"> The trade secret portions of the Information are proprietary to the Company and the PPA counterparties, and not generally known by the public. </w:t>
      </w:r>
      <w:r w:rsidR="004C43FB" w:rsidRPr="00945FC0">
        <w:rPr>
          <w:bCs/>
          <w:sz w:val="24"/>
          <w:szCs w:val="24"/>
        </w:rPr>
        <w:t xml:space="preserve">The trade secret portions of the Information include the proprietary algorithms, building blocks, and operational data of the PPA counterparties used in structuring successful bids </w:t>
      </w:r>
      <w:r w:rsidR="004539D8" w:rsidRPr="00945FC0">
        <w:rPr>
          <w:bCs/>
          <w:sz w:val="24"/>
          <w:szCs w:val="24"/>
        </w:rPr>
        <w:t xml:space="preserve">for emerging resource technology combinations and uses. </w:t>
      </w:r>
      <w:r w:rsidRPr="00945FC0">
        <w:rPr>
          <w:bCs/>
          <w:sz w:val="24"/>
          <w:szCs w:val="24"/>
        </w:rPr>
        <w:t>Revealing these terms could compromise the Company’s ability to procure the resources that provide the most value to customers from other independent power suppliers in the future. In the event the trade secret portions of the Information were released, it is quite likely that future counterparties would use this information to set a floor for prices as they construct their own offers, thus artificially and inefficiently setting a market price and affecting other contract terms, resulting in agreements that may not be representative of the best cost resources that the market could offer. In addition, parties to the PPAs have agreed to maintain the confidentiality of these terms.</w:t>
      </w:r>
      <w:r w:rsidR="004C43FB" w:rsidRPr="00945FC0">
        <w:rPr>
          <w:bCs/>
          <w:sz w:val="24"/>
          <w:szCs w:val="24"/>
        </w:rPr>
        <w:t xml:space="preserve"> Disclosure of the Information could have a chilling effect on the competitiveness and participation in future RFPs.</w:t>
      </w:r>
      <w:r w:rsidRPr="00945FC0">
        <w:rPr>
          <w:bCs/>
          <w:sz w:val="24"/>
          <w:szCs w:val="24"/>
        </w:rPr>
        <w:t xml:space="preserve"> Compromising the confidentiality of the trade secret portions of the Information could also harm the Company in its attempts to </w:t>
      </w:r>
      <w:r w:rsidR="004118CA">
        <w:rPr>
          <w:bCs/>
          <w:sz w:val="24"/>
          <w:szCs w:val="24"/>
        </w:rPr>
        <w:t xml:space="preserve">reasonably </w:t>
      </w:r>
      <w:r w:rsidRPr="00945FC0">
        <w:rPr>
          <w:bCs/>
          <w:sz w:val="24"/>
          <w:szCs w:val="24"/>
        </w:rPr>
        <w:t>negotiate PPAs in the future.</w:t>
      </w:r>
    </w:p>
    <w:p w14:paraId="75786B34" w14:textId="77777777" w:rsidR="00B10A3E" w:rsidRPr="00994970" w:rsidRDefault="00B10A3E" w:rsidP="00B10A3E">
      <w:pPr>
        <w:tabs>
          <w:tab w:val="left" w:pos="360"/>
        </w:tabs>
        <w:jc w:val="both"/>
        <w:rPr>
          <w:sz w:val="24"/>
        </w:rPr>
      </w:pPr>
    </w:p>
    <w:p w14:paraId="03EF5257" w14:textId="22C811CB" w:rsidR="000D4984" w:rsidRDefault="00580390" w:rsidP="00E36B20">
      <w:pPr>
        <w:pStyle w:val="BodyText"/>
        <w:spacing w:after="0" w:line="240" w:lineRule="auto"/>
        <w:ind w:firstLine="0"/>
      </w:pPr>
      <w:r w:rsidRPr="00994970">
        <w:rPr>
          <w:rFonts w:ascii="Times New Roman" w:hAnsi="Times New Roman"/>
        </w:rPr>
        <w:tab/>
        <w:t xml:space="preserve">The trade secret portions of the Information contained herein also include details concerning Georgia Power’s </w:t>
      </w:r>
      <w:r>
        <w:rPr>
          <w:rFonts w:ascii="Times New Roman" w:hAnsi="Times New Roman"/>
        </w:rPr>
        <w:t xml:space="preserve">economic </w:t>
      </w:r>
      <w:r w:rsidRPr="00994970">
        <w:rPr>
          <w:rFonts w:ascii="Times New Roman" w:hAnsi="Times New Roman"/>
        </w:rPr>
        <w:t>analyses</w:t>
      </w:r>
      <w:r>
        <w:rPr>
          <w:rFonts w:ascii="Times New Roman" w:hAnsi="Times New Roman"/>
        </w:rPr>
        <w:t xml:space="preserve"> of the PPAs</w:t>
      </w:r>
      <w:r w:rsidRPr="00994970">
        <w:rPr>
          <w:rFonts w:ascii="Times New Roman" w:hAnsi="Times New Roman"/>
        </w:rPr>
        <w:t>, which would have economic value to other persons and competitors. If the Information</w:t>
      </w:r>
      <w:r>
        <w:rPr>
          <w:rFonts w:ascii="Times New Roman" w:hAnsi="Times New Roman"/>
        </w:rPr>
        <w:t xml:space="preserve"> were made public</w:t>
      </w:r>
      <w:r w:rsidRPr="00994970">
        <w:rPr>
          <w:rFonts w:ascii="Times New Roman" w:hAnsi="Times New Roman"/>
        </w:rPr>
        <w:t>, competitors or bidders</w:t>
      </w:r>
      <w:r>
        <w:rPr>
          <w:rFonts w:ascii="Times New Roman" w:hAnsi="Times New Roman"/>
        </w:rPr>
        <w:t xml:space="preserve"> could use the Information to unfairly manipulate the request for proposals process to structure future bids based on the Company’s anticipated economic analysis of its PPAs</w:t>
      </w:r>
      <w:r w:rsidRPr="00994970">
        <w:rPr>
          <w:rFonts w:ascii="Times New Roman" w:hAnsi="Times New Roman"/>
        </w:rPr>
        <w:t>, which could, in turn, increase costs to Georgia Power</w:t>
      </w:r>
      <w:r>
        <w:rPr>
          <w:rFonts w:ascii="Times New Roman" w:hAnsi="Times New Roman"/>
        </w:rPr>
        <w:t xml:space="preserve"> and its customers</w:t>
      </w:r>
      <w:r w:rsidRPr="00994970">
        <w:rPr>
          <w:rFonts w:ascii="Times New Roman" w:hAnsi="Times New Roman"/>
        </w:rPr>
        <w:t>. This exposure would harm Georgia Power in its</w:t>
      </w:r>
      <w:r>
        <w:rPr>
          <w:rFonts w:ascii="Times New Roman" w:hAnsi="Times New Roman"/>
        </w:rPr>
        <w:t xml:space="preserve"> future</w:t>
      </w:r>
      <w:r w:rsidRPr="00994970">
        <w:rPr>
          <w:rFonts w:ascii="Times New Roman" w:hAnsi="Times New Roman"/>
        </w:rPr>
        <w:t xml:space="preserve"> </w:t>
      </w:r>
      <w:r>
        <w:rPr>
          <w:rFonts w:ascii="Times New Roman" w:hAnsi="Times New Roman"/>
        </w:rPr>
        <w:t>PPA negotiation efforts</w:t>
      </w:r>
      <w:r w:rsidRPr="00994970">
        <w:rPr>
          <w:rFonts w:ascii="Times New Roman" w:hAnsi="Times New Roman"/>
        </w:rPr>
        <w:t xml:space="preserve">. Georgia Power’s ability to negotiate the optimum price and contract terms </w:t>
      </w:r>
      <w:r>
        <w:rPr>
          <w:rFonts w:ascii="Times New Roman" w:hAnsi="Times New Roman"/>
        </w:rPr>
        <w:t>for the benefit of customers</w:t>
      </w:r>
      <w:r w:rsidRPr="00994970">
        <w:rPr>
          <w:rFonts w:ascii="Times New Roman" w:hAnsi="Times New Roman"/>
        </w:rPr>
        <w:t xml:space="preserve"> would be undermined if competitors and suppliers had access to the analysis contained in the trade secret portions of the Information. Ultimately, the customers of Georgia Power would be harmed by higher rates and less reliability if such trade secret portions of the Information were publicly available.</w:t>
      </w:r>
      <w:r w:rsidR="000D4984">
        <w:rPr>
          <w:rFonts w:ascii="Times New Roman" w:hAnsi="Times New Roman"/>
        </w:rPr>
        <w:br w:type="page"/>
      </w:r>
    </w:p>
    <w:p w14:paraId="2FE43AFC" w14:textId="01405453" w:rsidR="00B10A3E" w:rsidRDefault="00580390" w:rsidP="00B10A3E">
      <w:pPr>
        <w:jc w:val="both"/>
        <w:rPr>
          <w:bCs/>
          <w:sz w:val="24"/>
          <w:szCs w:val="24"/>
        </w:rPr>
      </w:pPr>
      <w:r w:rsidRPr="00365920">
        <w:rPr>
          <w:bCs/>
          <w:sz w:val="24"/>
          <w:szCs w:val="24"/>
        </w:rPr>
        <w:lastRenderedPageBreak/>
        <w:tab/>
        <w:t xml:space="preserve">The </w:t>
      </w:r>
      <w:r>
        <w:rPr>
          <w:bCs/>
          <w:sz w:val="24"/>
          <w:szCs w:val="24"/>
        </w:rPr>
        <w:t xml:space="preserve">trade secret portions of the </w:t>
      </w:r>
      <w:r w:rsidRPr="00365920">
        <w:rPr>
          <w:bCs/>
          <w:sz w:val="24"/>
          <w:szCs w:val="24"/>
        </w:rPr>
        <w:t xml:space="preserve">Information </w:t>
      </w:r>
      <w:r>
        <w:rPr>
          <w:bCs/>
          <w:sz w:val="24"/>
          <w:szCs w:val="24"/>
        </w:rPr>
        <w:t>are</w:t>
      </w:r>
      <w:r w:rsidRPr="00365920">
        <w:rPr>
          <w:bCs/>
          <w:sz w:val="24"/>
          <w:szCs w:val="24"/>
        </w:rPr>
        <w:t xml:space="preserve"> subject to extensive efforts to maintain </w:t>
      </w:r>
      <w:r>
        <w:rPr>
          <w:bCs/>
          <w:sz w:val="24"/>
          <w:szCs w:val="24"/>
        </w:rPr>
        <w:t>their</w:t>
      </w:r>
      <w:r w:rsidRPr="00365920">
        <w:rPr>
          <w:bCs/>
          <w:sz w:val="24"/>
          <w:szCs w:val="24"/>
        </w:rPr>
        <w:t xml:space="preserve"> confidentiality. Only select Georgia Power and Southern Company affiliate personnel and their legal counsel are gran</w:t>
      </w:r>
      <w:r>
        <w:rPr>
          <w:bCs/>
          <w:sz w:val="24"/>
          <w:szCs w:val="24"/>
        </w:rPr>
        <w:t xml:space="preserve">ted access to the trade secret portions of the Information. </w:t>
      </w:r>
      <w:r w:rsidRPr="00365920">
        <w:rPr>
          <w:bCs/>
          <w:sz w:val="24"/>
          <w:szCs w:val="24"/>
        </w:rPr>
        <w:t xml:space="preserve">Those personnel receive access </w:t>
      </w:r>
      <w:r>
        <w:rPr>
          <w:bCs/>
          <w:sz w:val="24"/>
          <w:szCs w:val="24"/>
        </w:rPr>
        <w:t>only on a “need to know” basis.</w:t>
      </w:r>
      <w:r w:rsidRPr="00365920">
        <w:rPr>
          <w:bCs/>
          <w:sz w:val="24"/>
          <w:szCs w:val="24"/>
        </w:rPr>
        <w:t xml:space="preserve"> If a party outside of Georgia Power and Southern Company affiliates and their legal counsel are granted access to the </w:t>
      </w:r>
      <w:r>
        <w:rPr>
          <w:bCs/>
          <w:sz w:val="24"/>
          <w:szCs w:val="24"/>
        </w:rPr>
        <w:t xml:space="preserve">trade secret portions of the </w:t>
      </w:r>
      <w:r w:rsidRPr="00365920">
        <w:rPr>
          <w:bCs/>
          <w:sz w:val="24"/>
          <w:szCs w:val="24"/>
        </w:rPr>
        <w:t xml:space="preserve">Information, the party is required to sign a confidentiality agreement with respect to the </w:t>
      </w:r>
      <w:r>
        <w:rPr>
          <w:bCs/>
          <w:sz w:val="24"/>
          <w:szCs w:val="24"/>
        </w:rPr>
        <w:t xml:space="preserve">trade secret portions of the </w:t>
      </w:r>
      <w:r w:rsidRPr="00365920">
        <w:rPr>
          <w:bCs/>
          <w:sz w:val="24"/>
          <w:szCs w:val="24"/>
        </w:rPr>
        <w:t>Information.</w:t>
      </w:r>
    </w:p>
    <w:p w14:paraId="61B7929D" w14:textId="5E53F1C2" w:rsidR="0037297F" w:rsidRDefault="0037297F">
      <w:pPr>
        <w:rPr>
          <w:b/>
          <w:bCs/>
          <w:sz w:val="24"/>
          <w:szCs w:val="24"/>
        </w:rPr>
      </w:pPr>
      <w:r>
        <w:rPr>
          <w:b/>
          <w:bCs/>
          <w:sz w:val="24"/>
          <w:szCs w:val="24"/>
        </w:rPr>
        <w:br w:type="page"/>
      </w:r>
    </w:p>
    <w:p w14:paraId="5A806C4C" w14:textId="77777777" w:rsidR="00B10A3E" w:rsidRDefault="00B10A3E" w:rsidP="00B10A3E">
      <w:pPr>
        <w:jc w:val="both"/>
        <w:rPr>
          <w:bCs/>
          <w:sz w:val="24"/>
          <w:szCs w:val="24"/>
        </w:rPr>
      </w:pPr>
    </w:p>
    <w:p w14:paraId="0BC78298" w14:textId="000D22BB" w:rsidR="00B10A3E" w:rsidRPr="0046496E" w:rsidRDefault="005A1FCE" w:rsidP="00B10A3E">
      <w:pPr>
        <w:autoSpaceDE w:val="0"/>
        <w:autoSpaceDN w:val="0"/>
        <w:adjustRightInd w:val="0"/>
        <w:spacing w:after="240"/>
        <w:jc w:val="both"/>
        <w:rPr>
          <w:sz w:val="24"/>
          <w:szCs w:val="24"/>
        </w:rPr>
      </w:pPr>
      <w:r>
        <w:rPr>
          <w:sz w:val="24"/>
          <w:szCs w:val="24"/>
        </w:rPr>
        <w:tab/>
      </w:r>
      <w:r w:rsidR="00DB78C8" w:rsidRPr="0046496E">
        <w:rPr>
          <w:sz w:val="24"/>
          <w:szCs w:val="24"/>
        </w:rPr>
        <w:t>Marc Vinson</w:t>
      </w:r>
      <w:r w:rsidR="00580390" w:rsidRPr="0046496E">
        <w:rPr>
          <w:sz w:val="24"/>
          <w:szCs w:val="24"/>
        </w:rPr>
        <w:t xml:space="preserve">, first being duly sworn, deposes and states that he has reviewed the </w:t>
      </w:r>
      <w:proofErr w:type="gramStart"/>
      <w:r w:rsidR="00580390" w:rsidRPr="0046496E">
        <w:rPr>
          <w:sz w:val="24"/>
          <w:szCs w:val="24"/>
        </w:rPr>
        <w:t>Application</w:t>
      </w:r>
      <w:proofErr w:type="gramEnd"/>
      <w:r w:rsidR="00580390" w:rsidRPr="0046496E">
        <w:rPr>
          <w:sz w:val="24"/>
          <w:szCs w:val="24"/>
        </w:rPr>
        <w:t xml:space="preserve"> and all other related documents included in this filing in Docket No. </w:t>
      </w:r>
      <w:r w:rsidR="003A2BAE">
        <w:rPr>
          <w:bCs/>
          <w:sz w:val="24"/>
          <w:szCs w:val="24"/>
        </w:rPr>
        <w:t>56181</w:t>
      </w:r>
      <w:r w:rsidR="00580390" w:rsidRPr="0046496E">
        <w:rPr>
          <w:sz w:val="24"/>
          <w:szCs w:val="24"/>
        </w:rPr>
        <w:t xml:space="preserve">, and that the specific information designated as trade secret constitutes trade secrets in accordance with O.C.G.A. § 10-1-761 (2019). </w:t>
      </w:r>
    </w:p>
    <w:p w14:paraId="7FE9B2AB" w14:textId="77777777" w:rsidR="00B10A3E" w:rsidRPr="0046496E" w:rsidRDefault="00B10A3E" w:rsidP="00B10A3E">
      <w:pPr>
        <w:autoSpaceDE w:val="0"/>
        <w:autoSpaceDN w:val="0"/>
        <w:adjustRightInd w:val="0"/>
        <w:rPr>
          <w:sz w:val="24"/>
          <w:szCs w:val="24"/>
        </w:rPr>
      </w:pPr>
    </w:p>
    <w:p w14:paraId="437845D4" w14:textId="77777777" w:rsidR="00B10A3E" w:rsidRPr="0046496E" w:rsidRDefault="00B10A3E" w:rsidP="00B10A3E">
      <w:pPr>
        <w:autoSpaceDE w:val="0"/>
        <w:autoSpaceDN w:val="0"/>
        <w:adjustRightInd w:val="0"/>
        <w:rPr>
          <w:sz w:val="24"/>
          <w:szCs w:val="24"/>
        </w:rPr>
      </w:pPr>
    </w:p>
    <w:p w14:paraId="781BABA8" w14:textId="77777777" w:rsidR="00B10A3E" w:rsidRPr="0046496E" w:rsidRDefault="00580390" w:rsidP="00B10A3E">
      <w:pPr>
        <w:autoSpaceDE w:val="0"/>
        <w:autoSpaceDN w:val="0"/>
        <w:adjustRightInd w:val="0"/>
        <w:rPr>
          <w:sz w:val="24"/>
          <w:szCs w:val="24"/>
        </w:rPr>
      </w:pPr>
      <w:r w:rsidRPr="0046496E">
        <w:tab/>
      </w:r>
      <w:r w:rsidRPr="0046496E">
        <w:tab/>
      </w:r>
      <w:r w:rsidRPr="0046496E">
        <w:tab/>
      </w:r>
      <w:r w:rsidRPr="0046496E">
        <w:tab/>
      </w:r>
      <w:r w:rsidRPr="0046496E">
        <w:tab/>
      </w:r>
      <w:r w:rsidRPr="0046496E">
        <w:rPr>
          <w:sz w:val="24"/>
          <w:szCs w:val="24"/>
        </w:rPr>
        <w:t>________________________________</w:t>
      </w:r>
    </w:p>
    <w:p w14:paraId="58953D79" w14:textId="2EA080C9" w:rsidR="00B10A3E" w:rsidRPr="0046496E" w:rsidRDefault="00580390" w:rsidP="00B10A3E">
      <w:pPr>
        <w:autoSpaceDE w:val="0"/>
        <w:autoSpaceDN w:val="0"/>
        <w:adjustRightInd w:val="0"/>
        <w:rPr>
          <w:sz w:val="24"/>
          <w:szCs w:val="24"/>
        </w:rPr>
      </w:pPr>
      <w:r w:rsidRPr="0046496E">
        <w:rPr>
          <w:sz w:val="24"/>
          <w:szCs w:val="24"/>
        </w:rPr>
        <w:tab/>
      </w:r>
      <w:r w:rsidRPr="0046496E">
        <w:rPr>
          <w:sz w:val="24"/>
          <w:szCs w:val="24"/>
        </w:rPr>
        <w:tab/>
      </w:r>
      <w:r w:rsidRPr="0046496E">
        <w:rPr>
          <w:sz w:val="24"/>
          <w:szCs w:val="24"/>
        </w:rPr>
        <w:tab/>
      </w:r>
      <w:r w:rsidRPr="0046496E">
        <w:rPr>
          <w:sz w:val="24"/>
          <w:szCs w:val="24"/>
        </w:rPr>
        <w:tab/>
      </w:r>
      <w:r w:rsidRPr="0046496E">
        <w:rPr>
          <w:sz w:val="24"/>
          <w:szCs w:val="24"/>
        </w:rPr>
        <w:tab/>
      </w:r>
      <w:r w:rsidR="00DB78C8" w:rsidRPr="0046496E">
        <w:rPr>
          <w:sz w:val="24"/>
          <w:szCs w:val="24"/>
        </w:rPr>
        <w:t>Marc Vinson</w:t>
      </w:r>
    </w:p>
    <w:p w14:paraId="70642518" w14:textId="53ADD16E" w:rsidR="00B10A3E" w:rsidRDefault="00580390" w:rsidP="00B10A3E">
      <w:pPr>
        <w:autoSpaceDE w:val="0"/>
        <w:autoSpaceDN w:val="0"/>
        <w:adjustRightInd w:val="0"/>
        <w:rPr>
          <w:sz w:val="24"/>
          <w:szCs w:val="24"/>
        </w:rPr>
      </w:pPr>
      <w:r w:rsidRPr="0046496E">
        <w:rPr>
          <w:sz w:val="24"/>
          <w:szCs w:val="24"/>
        </w:rPr>
        <w:tab/>
      </w:r>
      <w:r w:rsidRPr="0046496E">
        <w:rPr>
          <w:sz w:val="24"/>
          <w:szCs w:val="24"/>
        </w:rPr>
        <w:tab/>
      </w:r>
      <w:r w:rsidRPr="0046496E">
        <w:rPr>
          <w:sz w:val="24"/>
          <w:szCs w:val="24"/>
        </w:rPr>
        <w:tab/>
      </w:r>
      <w:r w:rsidRPr="0046496E">
        <w:rPr>
          <w:sz w:val="24"/>
          <w:szCs w:val="24"/>
        </w:rPr>
        <w:tab/>
      </w:r>
      <w:r w:rsidRPr="0046496E">
        <w:rPr>
          <w:sz w:val="24"/>
          <w:szCs w:val="24"/>
        </w:rPr>
        <w:tab/>
        <w:t xml:space="preserve">Renewable </w:t>
      </w:r>
      <w:r w:rsidR="004B48DB" w:rsidRPr="0046496E">
        <w:rPr>
          <w:sz w:val="24"/>
          <w:szCs w:val="24"/>
        </w:rPr>
        <w:t xml:space="preserve">Program </w:t>
      </w:r>
      <w:r w:rsidRPr="0046496E">
        <w:rPr>
          <w:sz w:val="24"/>
          <w:szCs w:val="24"/>
        </w:rPr>
        <w:t xml:space="preserve">Development </w:t>
      </w:r>
      <w:r w:rsidR="004B48DB" w:rsidRPr="0046496E">
        <w:rPr>
          <w:sz w:val="24"/>
          <w:szCs w:val="24"/>
        </w:rPr>
        <w:t>Manager</w:t>
      </w:r>
    </w:p>
    <w:p w14:paraId="4CEFF743" w14:textId="77777777" w:rsidR="00B10A3E" w:rsidRPr="004F1A74" w:rsidRDefault="00580390" w:rsidP="00B10A3E">
      <w:pPr>
        <w:autoSpaceDE w:val="0"/>
        <w:autoSpaceDN w:val="0"/>
        <w:adjustRightInd w:val="0"/>
        <w:ind w:left="2880" w:firstLine="720"/>
        <w:rPr>
          <w:sz w:val="24"/>
          <w:szCs w:val="24"/>
        </w:rPr>
      </w:pPr>
      <w:r w:rsidRPr="004F1A74">
        <w:rPr>
          <w:sz w:val="24"/>
          <w:szCs w:val="24"/>
        </w:rPr>
        <w:t>Georgia Power Company</w:t>
      </w:r>
    </w:p>
    <w:p w14:paraId="2CEDB4C2" w14:textId="77777777" w:rsidR="00B10A3E" w:rsidRPr="004F1A74" w:rsidRDefault="00B10A3E" w:rsidP="00B10A3E">
      <w:pPr>
        <w:autoSpaceDE w:val="0"/>
        <w:autoSpaceDN w:val="0"/>
        <w:adjustRightInd w:val="0"/>
        <w:rPr>
          <w:sz w:val="24"/>
          <w:szCs w:val="24"/>
        </w:rPr>
      </w:pPr>
    </w:p>
    <w:p w14:paraId="363C5423" w14:textId="77777777" w:rsidR="00B10A3E" w:rsidRPr="004F1A74" w:rsidRDefault="00B10A3E" w:rsidP="00B10A3E">
      <w:pPr>
        <w:autoSpaceDE w:val="0"/>
        <w:autoSpaceDN w:val="0"/>
        <w:adjustRightInd w:val="0"/>
        <w:rPr>
          <w:sz w:val="24"/>
          <w:szCs w:val="24"/>
        </w:rPr>
      </w:pPr>
    </w:p>
    <w:p w14:paraId="43749E81" w14:textId="39E4D2DD" w:rsidR="00B10A3E" w:rsidRPr="004F1A74" w:rsidRDefault="00580390" w:rsidP="00B10A3E">
      <w:pPr>
        <w:autoSpaceDE w:val="0"/>
        <w:autoSpaceDN w:val="0"/>
        <w:adjustRightInd w:val="0"/>
        <w:rPr>
          <w:sz w:val="24"/>
          <w:szCs w:val="24"/>
        </w:rPr>
      </w:pPr>
      <w:r w:rsidRPr="004F1A74">
        <w:rPr>
          <w:sz w:val="24"/>
          <w:szCs w:val="24"/>
        </w:rPr>
        <w:tab/>
        <w:t>Subscri</w:t>
      </w:r>
      <w:r>
        <w:rPr>
          <w:sz w:val="24"/>
          <w:szCs w:val="24"/>
        </w:rPr>
        <w:t xml:space="preserve">bed and sworn to before me this </w:t>
      </w:r>
      <w:r w:rsidR="005001A9">
        <w:rPr>
          <w:sz w:val="24"/>
          <w:szCs w:val="24"/>
        </w:rPr>
        <w:t>5th</w:t>
      </w:r>
      <w:r>
        <w:rPr>
          <w:sz w:val="24"/>
          <w:szCs w:val="24"/>
        </w:rPr>
        <w:t xml:space="preserve"> </w:t>
      </w:r>
      <w:r w:rsidRPr="004F1A74">
        <w:rPr>
          <w:sz w:val="24"/>
          <w:szCs w:val="24"/>
        </w:rPr>
        <w:t xml:space="preserve">day of </w:t>
      </w:r>
      <w:proofErr w:type="gramStart"/>
      <w:r w:rsidR="00FD249E" w:rsidRPr="00442C93">
        <w:rPr>
          <w:sz w:val="24"/>
          <w:szCs w:val="24"/>
        </w:rPr>
        <w:t>June</w:t>
      </w:r>
      <w:r w:rsidR="005A1FCE" w:rsidRPr="004F1A74">
        <w:rPr>
          <w:sz w:val="24"/>
          <w:szCs w:val="24"/>
        </w:rPr>
        <w:t>,</w:t>
      </w:r>
      <w:proofErr w:type="gramEnd"/>
      <w:r w:rsidR="005A1FCE" w:rsidRPr="004F1A74">
        <w:rPr>
          <w:sz w:val="24"/>
          <w:szCs w:val="24"/>
        </w:rPr>
        <w:t xml:space="preserve"> </w:t>
      </w:r>
      <w:r w:rsidR="00F61D77">
        <w:rPr>
          <w:sz w:val="24"/>
          <w:szCs w:val="24"/>
        </w:rPr>
        <w:t>202</w:t>
      </w:r>
      <w:r w:rsidR="0024529C">
        <w:rPr>
          <w:sz w:val="24"/>
          <w:szCs w:val="24"/>
        </w:rPr>
        <w:t>5</w:t>
      </w:r>
      <w:r w:rsidRPr="004F1A74">
        <w:rPr>
          <w:sz w:val="24"/>
          <w:szCs w:val="24"/>
        </w:rPr>
        <w:t>.</w:t>
      </w:r>
    </w:p>
    <w:p w14:paraId="6BF181E5" w14:textId="77777777" w:rsidR="00B10A3E" w:rsidRPr="004F1A74" w:rsidRDefault="00B10A3E" w:rsidP="00B10A3E">
      <w:pPr>
        <w:autoSpaceDE w:val="0"/>
        <w:autoSpaceDN w:val="0"/>
        <w:adjustRightInd w:val="0"/>
        <w:rPr>
          <w:sz w:val="24"/>
          <w:szCs w:val="24"/>
        </w:rPr>
      </w:pPr>
    </w:p>
    <w:p w14:paraId="2B110F86" w14:textId="77777777" w:rsidR="00B10A3E" w:rsidRPr="004F1A74" w:rsidRDefault="00B10A3E" w:rsidP="00B10A3E">
      <w:pPr>
        <w:autoSpaceDE w:val="0"/>
        <w:autoSpaceDN w:val="0"/>
        <w:adjustRightInd w:val="0"/>
        <w:rPr>
          <w:sz w:val="24"/>
          <w:szCs w:val="24"/>
        </w:rPr>
      </w:pPr>
    </w:p>
    <w:p w14:paraId="488D5FB8" w14:textId="77777777" w:rsidR="00B10A3E" w:rsidRPr="004F1A74" w:rsidRDefault="00B10A3E" w:rsidP="00B10A3E">
      <w:pPr>
        <w:autoSpaceDE w:val="0"/>
        <w:autoSpaceDN w:val="0"/>
        <w:adjustRightInd w:val="0"/>
        <w:rPr>
          <w:sz w:val="24"/>
          <w:szCs w:val="24"/>
        </w:rPr>
      </w:pPr>
    </w:p>
    <w:p w14:paraId="729E0017" w14:textId="77777777" w:rsidR="00B10A3E" w:rsidRPr="004F1A74" w:rsidRDefault="00580390" w:rsidP="00B10A3E">
      <w:pPr>
        <w:autoSpaceDE w:val="0"/>
        <w:autoSpaceDN w:val="0"/>
        <w:adjustRightInd w:val="0"/>
        <w:rPr>
          <w:sz w:val="24"/>
          <w:szCs w:val="24"/>
        </w:rPr>
      </w:pPr>
      <w:r w:rsidRPr="004F1A74">
        <w:rPr>
          <w:sz w:val="24"/>
          <w:szCs w:val="24"/>
        </w:rPr>
        <w:t>____________________</w:t>
      </w:r>
    </w:p>
    <w:p w14:paraId="327661ED" w14:textId="77777777" w:rsidR="00B10A3E" w:rsidRPr="00F22A1A" w:rsidRDefault="00580390" w:rsidP="00B10A3E">
      <w:pPr>
        <w:autoSpaceDE w:val="0"/>
        <w:autoSpaceDN w:val="0"/>
        <w:adjustRightInd w:val="0"/>
        <w:rPr>
          <w:b/>
          <w:bCs/>
          <w:sz w:val="24"/>
          <w:szCs w:val="24"/>
        </w:rPr>
      </w:pPr>
      <w:r w:rsidRPr="004F1A74">
        <w:rPr>
          <w:sz w:val="24"/>
          <w:szCs w:val="24"/>
        </w:rPr>
        <w:t>Notary Public</w:t>
      </w:r>
    </w:p>
    <w:p w14:paraId="02978669" w14:textId="77777777" w:rsidR="00B10A3E" w:rsidRDefault="00B10A3E" w:rsidP="00B10A3E">
      <w:pPr>
        <w:spacing w:line="360" w:lineRule="auto"/>
        <w:jc w:val="both"/>
        <w:rPr>
          <w:b/>
          <w:bCs/>
          <w:sz w:val="24"/>
          <w:szCs w:val="24"/>
        </w:rPr>
        <w:sectPr w:rsidR="00B10A3E" w:rsidSect="00B10A3E">
          <w:pgSz w:w="12240" w:h="15840" w:code="1"/>
          <w:pgMar w:top="1440" w:right="1440" w:bottom="1440" w:left="1440" w:header="576" w:footer="720" w:gutter="0"/>
          <w:pgNumType w:fmt="lowerRoman"/>
          <w:cols w:space="720"/>
          <w:noEndnote/>
          <w:titlePg/>
        </w:sectPr>
      </w:pPr>
    </w:p>
    <w:p w14:paraId="0A0C1E4C" w14:textId="11913C68" w:rsidR="00B10A3E" w:rsidRPr="00F32E5C" w:rsidRDefault="00580390" w:rsidP="00B10A3E">
      <w:pPr>
        <w:pStyle w:val="PlainText"/>
        <w:spacing w:line="240" w:lineRule="auto"/>
        <w:jc w:val="center"/>
        <w:rPr>
          <w:rFonts w:ascii="Times New Roman" w:hAnsi="Times New Roman"/>
          <w:b/>
          <w:szCs w:val="24"/>
        </w:rPr>
      </w:pPr>
      <w:r w:rsidRPr="00F32E5C">
        <w:rPr>
          <w:rFonts w:ascii="Times New Roman" w:hAnsi="Times New Roman"/>
          <w:b/>
          <w:szCs w:val="24"/>
        </w:rPr>
        <w:lastRenderedPageBreak/>
        <w:fldChar w:fldCharType="begin"/>
      </w:r>
      <w:r w:rsidRPr="00F32E5C">
        <w:rPr>
          <w:rFonts w:ascii="Times New Roman" w:hAnsi="Times New Roman"/>
          <w:b/>
          <w:szCs w:val="24"/>
        </w:rPr>
        <w:instrText xml:space="preserve">  </w:instrText>
      </w:r>
      <w:r w:rsidRPr="00F32E5C">
        <w:rPr>
          <w:rFonts w:ascii="Times New Roman" w:hAnsi="Times New Roman"/>
          <w:b/>
          <w:szCs w:val="24"/>
        </w:rPr>
        <w:fldChar w:fldCharType="end"/>
      </w:r>
      <w:r w:rsidRPr="00F32E5C">
        <w:rPr>
          <w:rFonts w:ascii="Times New Roman" w:hAnsi="Times New Roman"/>
          <w:b/>
          <w:szCs w:val="24"/>
        </w:rPr>
        <w:t xml:space="preserve">Georgia Power Company’s Application for the </w:t>
      </w:r>
      <w:r w:rsidRPr="001B1057">
        <w:rPr>
          <w:rFonts w:ascii="Times New Roman" w:hAnsi="Times New Roman"/>
          <w:b/>
        </w:rPr>
        <w:t xml:space="preserve">Certification of the </w:t>
      </w:r>
      <w:r w:rsidR="00080486">
        <w:rPr>
          <w:rFonts w:ascii="Times New Roman" w:hAnsi="Times New Roman"/>
          <w:b/>
        </w:rPr>
        <w:t xml:space="preserve">CARES </w:t>
      </w:r>
      <w:r w:rsidR="00E30512">
        <w:rPr>
          <w:rFonts w:ascii="Times New Roman" w:hAnsi="Times New Roman"/>
          <w:b/>
        </w:rPr>
        <w:t>2023</w:t>
      </w:r>
      <w:r>
        <w:rPr>
          <w:rFonts w:ascii="Times New Roman" w:hAnsi="Times New Roman"/>
          <w:b/>
        </w:rPr>
        <w:t xml:space="preserve"> Utility Scale </w:t>
      </w:r>
      <w:r w:rsidR="00CB2D06">
        <w:rPr>
          <w:rFonts w:ascii="Times New Roman" w:hAnsi="Times New Roman"/>
          <w:b/>
        </w:rPr>
        <w:t xml:space="preserve">Renewable </w:t>
      </w:r>
      <w:r>
        <w:rPr>
          <w:rFonts w:ascii="Times New Roman" w:hAnsi="Times New Roman"/>
          <w:b/>
        </w:rPr>
        <w:t xml:space="preserve">Power </w:t>
      </w:r>
      <w:r w:rsidRPr="001B1057">
        <w:rPr>
          <w:rFonts w:ascii="Times New Roman" w:hAnsi="Times New Roman"/>
          <w:b/>
        </w:rPr>
        <w:t>Purchase Agreements</w:t>
      </w:r>
    </w:p>
    <w:p w14:paraId="0DF30D46" w14:textId="77777777" w:rsidR="00B10A3E" w:rsidRPr="00F32E5C" w:rsidRDefault="00B10A3E" w:rsidP="00B10A3E">
      <w:pPr>
        <w:pStyle w:val="PlainText"/>
        <w:spacing w:line="360" w:lineRule="auto"/>
        <w:jc w:val="center"/>
        <w:rPr>
          <w:rFonts w:ascii="Times New Roman" w:hAnsi="Times New Roman"/>
          <w:b/>
          <w:szCs w:val="24"/>
        </w:rPr>
      </w:pPr>
    </w:p>
    <w:p w14:paraId="405101B9" w14:textId="77777777" w:rsidR="00B10A3E" w:rsidRPr="000B6502" w:rsidRDefault="00B10A3E" w:rsidP="00B10A3E">
      <w:pPr>
        <w:pStyle w:val="PlainText"/>
        <w:tabs>
          <w:tab w:val="left" w:pos="720"/>
        </w:tabs>
        <w:spacing w:line="360" w:lineRule="auto"/>
        <w:jc w:val="center"/>
        <w:rPr>
          <w:rFonts w:ascii="Arial" w:hAnsi="Arial" w:cs="Arial"/>
          <w:b/>
          <w:sz w:val="22"/>
        </w:rPr>
      </w:pPr>
    </w:p>
    <w:p w14:paraId="7EBBF5D9" w14:textId="3459096F" w:rsidR="00B10A3E" w:rsidRPr="00F87C3D" w:rsidRDefault="00580390" w:rsidP="00B10A3E">
      <w:pPr>
        <w:pStyle w:val="PlainText"/>
        <w:spacing w:line="360" w:lineRule="auto"/>
        <w:jc w:val="center"/>
        <w:rPr>
          <w:rFonts w:ascii="Times New Roman" w:hAnsi="Times New Roman"/>
          <w:b/>
          <w:szCs w:val="24"/>
        </w:rPr>
      </w:pPr>
      <w:r w:rsidRPr="00F87C3D">
        <w:rPr>
          <w:rFonts w:ascii="Times New Roman" w:hAnsi="Times New Roman"/>
          <w:b/>
          <w:szCs w:val="24"/>
        </w:rPr>
        <w:t>Docket No.</w:t>
      </w:r>
      <w:r w:rsidR="00C931F0">
        <w:rPr>
          <w:rFonts w:ascii="Times New Roman" w:hAnsi="Times New Roman"/>
          <w:b/>
          <w:szCs w:val="24"/>
        </w:rPr>
        <w:t xml:space="preserve"> </w:t>
      </w:r>
      <w:r w:rsidR="003A2BAE">
        <w:rPr>
          <w:rFonts w:ascii="Times New Roman" w:hAnsi="Times New Roman"/>
          <w:b/>
          <w:szCs w:val="24"/>
        </w:rPr>
        <w:t>56181</w:t>
      </w:r>
    </w:p>
    <w:p w14:paraId="0BD3940D" w14:textId="77777777" w:rsidR="00B10A3E" w:rsidRPr="00387088" w:rsidRDefault="00580390" w:rsidP="00B10A3E">
      <w:pPr>
        <w:pStyle w:val="PlainText"/>
        <w:spacing w:before="120" w:line="360" w:lineRule="auto"/>
        <w:jc w:val="center"/>
        <w:rPr>
          <w:rFonts w:ascii="Times New Roman" w:hAnsi="Times New Roman"/>
          <w:b/>
          <w:bCs/>
          <w:szCs w:val="24"/>
          <w:u w:val="single"/>
        </w:rPr>
      </w:pPr>
      <w:r w:rsidRPr="008E170B">
        <w:rPr>
          <w:rFonts w:ascii="Times New Roman" w:hAnsi="Times New Roman"/>
          <w:b/>
          <w:bCs/>
          <w:szCs w:val="24"/>
          <w:u w:val="single"/>
        </w:rPr>
        <w:t>TABLE OF CONTENTS</w:t>
      </w:r>
    </w:p>
    <w:bookmarkStart w:id="2" w:name="SWHere"/>
    <w:bookmarkEnd w:id="2"/>
    <w:p w14:paraId="59F915CD" w14:textId="2DDA141B" w:rsidR="00341DFC" w:rsidRDefault="00580390">
      <w:pPr>
        <w:pStyle w:val="TOC1"/>
        <w:rPr>
          <w:rFonts w:asciiTheme="minorHAnsi" w:eastAsiaTheme="minorEastAsia" w:hAnsiTheme="minorHAnsi" w:cstheme="minorBidi"/>
          <w:noProof/>
          <w:kern w:val="2"/>
          <w:sz w:val="24"/>
          <w:szCs w:val="24"/>
          <w14:ligatures w14:val="standardContextual"/>
        </w:rPr>
      </w:pPr>
      <w:r w:rsidRPr="00B25DA4">
        <w:rPr>
          <w:highlight w:val="yellow"/>
        </w:rPr>
        <w:fldChar w:fldCharType="begin"/>
      </w:r>
      <w:r w:rsidRPr="00B25DA4">
        <w:rPr>
          <w:highlight w:val="yellow"/>
        </w:rPr>
        <w:instrText xml:space="preserve"> TOC \o "2-3" \h \z \t "Heading 1,1" </w:instrText>
      </w:r>
      <w:r w:rsidRPr="00B25DA4">
        <w:rPr>
          <w:highlight w:val="yellow"/>
        </w:rPr>
        <w:fldChar w:fldCharType="separate"/>
      </w:r>
      <w:hyperlink w:anchor="_Toc191504497" w:history="1">
        <w:r w:rsidR="00341DFC" w:rsidRPr="0036639F">
          <w:rPr>
            <w:rStyle w:val="Hyperlink"/>
            <w:noProof/>
          </w:rPr>
          <w:t>1.</w:t>
        </w:r>
        <w:r w:rsidR="00341DFC">
          <w:rPr>
            <w:rFonts w:asciiTheme="minorHAnsi" w:eastAsiaTheme="minorEastAsia" w:hAnsiTheme="minorHAnsi" w:cstheme="minorBidi"/>
            <w:noProof/>
            <w:kern w:val="2"/>
            <w:sz w:val="24"/>
            <w:szCs w:val="24"/>
            <w14:ligatures w14:val="standardContextual"/>
          </w:rPr>
          <w:tab/>
        </w:r>
        <w:r w:rsidR="00341DFC" w:rsidRPr="0036639F">
          <w:rPr>
            <w:rStyle w:val="Hyperlink"/>
            <w:noProof/>
          </w:rPr>
          <w:t>Executive Summary</w:t>
        </w:r>
        <w:r w:rsidR="00341DFC">
          <w:rPr>
            <w:noProof/>
            <w:webHidden/>
          </w:rPr>
          <w:tab/>
        </w:r>
        <w:r w:rsidR="00341DFC">
          <w:rPr>
            <w:noProof/>
            <w:webHidden/>
          </w:rPr>
          <w:fldChar w:fldCharType="begin"/>
        </w:r>
        <w:r w:rsidR="00341DFC">
          <w:rPr>
            <w:noProof/>
            <w:webHidden/>
          </w:rPr>
          <w:instrText xml:space="preserve"> PAGEREF _Toc191504497 \h </w:instrText>
        </w:r>
        <w:r w:rsidR="00341DFC">
          <w:rPr>
            <w:noProof/>
            <w:webHidden/>
          </w:rPr>
        </w:r>
        <w:r w:rsidR="00341DFC">
          <w:rPr>
            <w:noProof/>
            <w:webHidden/>
          </w:rPr>
          <w:fldChar w:fldCharType="separate"/>
        </w:r>
        <w:r w:rsidR="00341DFC">
          <w:rPr>
            <w:noProof/>
            <w:webHidden/>
          </w:rPr>
          <w:t>1</w:t>
        </w:r>
        <w:r w:rsidR="00341DFC">
          <w:rPr>
            <w:noProof/>
            <w:webHidden/>
          </w:rPr>
          <w:fldChar w:fldCharType="end"/>
        </w:r>
      </w:hyperlink>
    </w:p>
    <w:p w14:paraId="43C646B8" w14:textId="30B08050" w:rsidR="00341DFC" w:rsidRDefault="00341DFC">
      <w:pPr>
        <w:pStyle w:val="TOC2"/>
        <w:rPr>
          <w:rFonts w:asciiTheme="minorHAnsi" w:eastAsiaTheme="minorEastAsia" w:hAnsiTheme="minorHAnsi" w:cstheme="minorBidi"/>
          <w:noProof/>
          <w:kern w:val="2"/>
          <w:sz w:val="24"/>
          <w:szCs w:val="24"/>
          <w14:ligatures w14:val="standardContextual"/>
        </w:rPr>
      </w:pPr>
      <w:hyperlink w:anchor="_Toc191504498" w:history="1">
        <w:r w:rsidRPr="0036639F">
          <w:rPr>
            <w:rStyle w:val="Hyperlink"/>
            <w:noProof/>
          </w:rPr>
          <w:t>1.1</w:t>
        </w:r>
        <w:r>
          <w:rPr>
            <w:rFonts w:asciiTheme="minorHAnsi" w:eastAsiaTheme="minorEastAsia" w:hAnsiTheme="minorHAnsi" w:cstheme="minorBidi"/>
            <w:noProof/>
            <w:kern w:val="2"/>
            <w:sz w:val="24"/>
            <w:szCs w:val="24"/>
            <w14:ligatures w14:val="standardContextual"/>
          </w:rPr>
          <w:tab/>
        </w:r>
        <w:r w:rsidRPr="0036639F">
          <w:rPr>
            <w:rStyle w:val="Hyperlink"/>
            <w:noProof/>
          </w:rPr>
          <w:t>Certification of Resources</w:t>
        </w:r>
        <w:r>
          <w:rPr>
            <w:noProof/>
            <w:webHidden/>
          </w:rPr>
          <w:tab/>
        </w:r>
        <w:r>
          <w:rPr>
            <w:noProof/>
            <w:webHidden/>
          </w:rPr>
          <w:fldChar w:fldCharType="begin"/>
        </w:r>
        <w:r>
          <w:rPr>
            <w:noProof/>
            <w:webHidden/>
          </w:rPr>
          <w:instrText xml:space="preserve"> PAGEREF _Toc191504498 \h </w:instrText>
        </w:r>
        <w:r>
          <w:rPr>
            <w:noProof/>
            <w:webHidden/>
          </w:rPr>
        </w:r>
        <w:r>
          <w:rPr>
            <w:noProof/>
            <w:webHidden/>
          </w:rPr>
          <w:fldChar w:fldCharType="separate"/>
        </w:r>
        <w:r>
          <w:rPr>
            <w:noProof/>
            <w:webHidden/>
          </w:rPr>
          <w:t>1</w:t>
        </w:r>
        <w:r>
          <w:rPr>
            <w:noProof/>
            <w:webHidden/>
          </w:rPr>
          <w:fldChar w:fldCharType="end"/>
        </w:r>
      </w:hyperlink>
    </w:p>
    <w:p w14:paraId="2893D43E" w14:textId="715D40E0" w:rsidR="00341DFC" w:rsidRDefault="00341DFC">
      <w:pPr>
        <w:pStyle w:val="TOC2"/>
        <w:rPr>
          <w:rFonts w:asciiTheme="minorHAnsi" w:eastAsiaTheme="minorEastAsia" w:hAnsiTheme="minorHAnsi" w:cstheme="minorBidi"/>
          <w:noProof/>
          <w:kern w:val="2"/>
          <w:sz w:val="24"/>
          <w:szCs w:val="24"/>
          <w14:ligatures w14:val="standardContextual"/>
        </w:rPr>
      </w:pPr>
      <w:hyperlink w:anchor="_Toc191504499" w:history="1">
        <w:r w:rsidRPr="0036639F">
          <w:rPr>
            <w:rStyle w:val="Hyperlink"/>
            <w:noProof/>
          </w:rPr>
          <w:t>1.2</w:t>
        </w:r>
        <w:r>
          <w:rPr>
            <w:rFonts w:asciiTheme="minorHAnsi" w:eastAsiaTheme="minorEastAsia" w:hAnsiTheme="minorHAnsi" w:cstheme="minorBidi"/>
            <w:noProof/>
            <w:kern w:val="2"/>
            <w:sz w:val="24"/>
            <w:szCs w:val="24"/>
            <w14:ligatures w14:val="standardContextual"/>
          </w:rPr>
          <w:tab/>
        </w:r>
        <w:r w:rsidRPr="0036639F">
          <w:rPr>
            <w:rStyle w:val="Hyperlink"/>
            <w:noProof/>
          </w:rPr>
          <w:t>CARES 2023 Utility Scale Renewable PPAs</w:t>
        </w:r>
        <w:r>
          <w:rPr>
            <w:noProof/>
            <w:webHidden/>
          </w:rPr>
          <w:tab/>
        </w:r>
        <w:r>
          <w:rPr>
            <w:noProof/>
            <w:webHidden/>
          </w:rPr>
          <w:fldChar w:fldCharType="begin"/>
        </w:r>
        <w:r>
          <w:rPr>
            <w:noProof/>
            <w:webHidden/>
          </w:rPr>
          <w:instrText xml:space="preserve"> PAGEREF _Toc191504499 \h </w:instrText>
        </w:r>
        <w:r>
          <w:rPr>
            <w:noProof/>
            <w:webHidden/>
          </w:rPr>
        </w:r>
        <w:r>
          <w:rPr>
            <w:noProof/>
            <w:webHidden/>
          </w:rPr>
          <w:fldChar w:fldCharType="separate"/>
        </w:r>
        <w:r>
          <w:rPr>
            <w:noProof/>
            <w:webHidden/>
          </w:rPr>
          <w:t>2</w:t>
        </w:r>
        <w:r>
          <w:rPr>
            <w:noProof/>
            <w:webHidden/>
          </w:rPr>
          <w:fldChar w:fldCharType="end"/>
        </w:r>
      </w:hyperlink>
    </w:p>
    <w:p w14:paraId="4A42085E" w14:textId="72DCB3ED" w:rsidR="00341DFC" w:rsidRDefault="00341DFC">
      <w:pPr>
        <w:pStyle w:val="TOC1"/>
        <w:rPr>
          <w:rFonts w:asciiTheme="minorHAnsi" w:eastAsiaTheme="minorEastAsia" w:hAnsiTheme="minorHAnsi" w:cstheme="minorBidi"/>
          <w:noProof/>
          <w:kern w:val="2"/>
          <w:sz w:val="24"/>
          <w:szCs w:val="24"/>
          <w14:ligatures w14:val="standardContextual"/>
        </w:rPr>
      </w:pPr>
      <w:hyperlink w:anchor="_Toc191504500" w:history="1">
        <w:r w:rsidRPr="0036639F">
          <w:rPr>
            <w:rStyle w:val="Hyperlink"/>
            <w:noProof/>
          </w:rPr>
          <w:t>2.</w:t>
        </w:r>
        <w:r>
          <w:rPr>
            <w:rFonts w:asciiTheme="minorHAnsi" w:eastAsiaTheme="minorEastAsia" w:hAnsiTheme="minorHAnsi" w:cstheme="minorBidi"/>
            <w:noProof/>
            <w:kern w:val="2"/>
            <w:sz w:val="24"/>
            <w:szCs w:val="24"/>
            <w14:ligatures w14:val="standardContextual"/>
          </w:rPr>
          <w:tab/>
        </w:r>
        <w:r w:rsidRPr="0036639F">
          <w:rPr>
            <w:rStyle w:val="Hyperlink"/>
            <w:noProof/>
          </w:rPr>
          <w:t>Issuance of Utility Scale Renewable RFP</w:t>
        </w:r>
        <w:r>
          <w:rPr>
            <w:noProof/>
            <w:webHidden/>
          </w:rPr>
          <w:tab/>
        </w:r>
        <w:r>
          <w:rPr>
            <w:noProof/>
            <w:webHidden/>
          </w:rPr>
          <w:fldChar w:fldCharType="begin"/>
        </w:r>
        <w:r>
          <w:rPr>
            <w:noProof/>
            <w:webHidden/>
          </w:rPr>
          <w:instrText xml:space="preserve"> PAGEREF _Toc191504500 \h </w:instrText>
        </w:r>
        <w:r>
          <w:rPr>
            <w:noProof/>
            <w:webHidden/>
          </w:rPr>
        </w:r>
        <w:r>
          <w:rPr>
            <w:noProof/>
            <w:webHidden/>
          </w:rPr>
          <w:fldChar w:fldCharType="separate"/>
        </w:r>
        <w:r>
          <w:rPr>
            <w:noProof/>
            <w:webHidden/>
          </w:rPr>
          <w:t>4</w:t>
        </w:r>
        <w:r>
          <w:rPr>
            <w:noProof/>
            <w:webHidden/>
          </w:rPr>
          <w:fldChar w:fldCharType="end"/>
        </w:r>
      </w:hyperlink>
    </w:p>
    <w:p w14:paraId="6247E0AD" w14:textId="787FCA80" w:rsidR="00341DFC" w:rsidRDefault="00341DFC">
      <w:pPr>
        <w:pStyle w:val="TOC1"/>
        <w:rPr>
          <w:rFonts w:asciiTheme="minorHAnsi" w:eastAsiaTheme="minorEastAsia" w:hAnsiTheme="minorHAnsi" w:cstheme="minorBidi"/>
          <w:noProof/>
          <w:kern w:val="2"/>
          <w:sz w:val="24"/>
          <w:szCs w:val="24"/>
          <w14:ligatures w14:val="standardContextual"/>
        </w:rPr>
      </w:pPr>
      <w:hyperlink w:anchor="_Toc191504501" w:history="1">
        <w:r w:rsidRPr="0036639F">
          <w:rPr>
            <w:rStyle w:val="Hyperlink"/>
            <w:noProof/>
          </w:rPr>
          <w:t>3.</w:t>
        </w:r>
        <w:r>
          <w:rPr>
            <w:rFonts w:asciiTheme="minorHAnsi" w:eastAsiaTheme="minorEastAsia" w:hAnsiTheme="minorHAnsi" w:cstheme="minorBidi"/>
            <w:noProof/>
            <w:kern w:val="2"/>
            <w:sz w:val="24"/>
            <w:szCs w:val="24"/>
            <w14:ligatures w14:val="standardContextual"/>
          </w:rPr>
          <w:tab/>
        </w:r>
        <w:r w:rsidRPr="0036639F">
          <w:rPr>
            <w:rStyle w:val="Hyperlink"/>
            <w:noProof/>
          </w:rPr>
          <w:t>Bid Evaluation</w:t>
        </w:r>
        <w:r>
          <w:rPr>
            <w:noProof/>
            <w:webHidden/>
          </w:rPr>
          <w:tab/>
        </w:r>
        <w:r>
          <w:rPr>
            <w:noProof/>
            <w:webHidden/>
          </w:rPr>
          <w:fldChar w:fldCharType="begin"/>
        </w:r>
        <w:r>
          <w:rPr>
            <w:noProof/>
            <w:webHidden/>
          </w:rPr>
          <w:instrText xml:space="preserve"> PAGEREF _Toc191504501 \h </w:instrText>
        </w:r>
        <w:r>
          <w:rPr>
            <w:noProof/>
            <w:webHidden/>
          </w:rPr>
        </w:r>
        <w:r>
          <w:rPr>
            <w:noProof/>
            <w:webHidden/>
          </w:rPr>
          <w:fldChar w:fldCharType="separate"/>
        </w:r>
        <w:r>
          <w:rPr>
            <w:noProof/>
            <w:webHidden/>
          </w:rPr>
          <w:t>5</w:t>
        </w:r>
        <w:r>
          <w:rPr>
            <w:noProof/>
            <w:webHidden/>
          </w:rPr>
          <w:fldChar w:fldCharType="end"/>
        </w:r>
      </w:hyperlink>
    </w:p>
    <w:p w14:paraId="7A834794" w14:textId="6758239A" w:rsidR="00341DFC" w:rsidRDefault="00341DFC">
      <w:pPr>
        <w:pStyle w:val="TOC1"/>
        <w:rPr>
          <w:rFonts w:asciiTheme="minorHAnsi" w:eastAsiaTheme="minorEastAsia" w:hAnsiTheme="minorHAnsi" w:cstheme="minorBidi"/>
          <w:noProof/>
          <w:kern w:val="2"/>
          <w:sz w:val="24"/>
          <w:szCs w:val="24"/>
          <w14:ligatures w14:val="standardContextual"/>
        </w:rPr>
      </w:pPr>
      <w:hyperlink w:anchor="_Toc191504502" w:history="1">
        <w:r w:rsidRPr="0036639F">
          <w:rPr>
            <w:rStyle w:val="Hyperlink"/>
            <w:noProof/>
          </w:rPr>
          <w:t>4.</w:t>
        </w:r>
        <w:r>
          <w:rPr>
            <w:rFonts w:asciiTheme="minorHAnsi" w:eastAsiaTheme="minorEastAsia" w:hAnsiTheme="minorHAnsi" w:cstheme="minorBidi"/>
            <w:noProof/>
            <w:kern w:val="2"/>
            <w:sz w:val="24"/>
            <w:szCs w:val="24"/>
            <w14:ligatures w14:val="standardContextual"/>
          </w:rPr>
          <w:tab/>
        </w:r>
        <w:r w:rsidRPr="0036639F">
          <w:rPr>
            <w:rStyle w:val="Hyperlink"/>
            <w:noProof/>
          </w:rPr>
          <w:t>Winning Bidders’ PPAs</w:t>
        </w:r>
        <w:r>
          <w:rPr>
            <w:noProof/>
            <w:webHidden/>
          </w:rPr>
          <w:tab/>
        </w:r>
        <w:r>
          <w:rPr>
            <w:noProof/>
            <w:webHidden/>
          </w:rPr>
          <w:fldChar w:fldCharType="begin"/>
        </w:r>
        <w:r>
          <w:rPr>
            <w:noProof/>
            <w:webHidden/>
          </w:rPr>
          <w:instrText xml:space="preserve"> PAGEREF _Toc191504502 \h </w:instrText>
        </w:r>
        <w:r>
          <w:rPr>
            <w:noProof/>
            <w:webHidden/>
          </w:rPr>
        </w:r>
        <w:r>
          <w:rPr>
            <w:noProof/>
            <w:webHidden/>
          </w:rPr>
          <w:fldChar w:fldCharType="separate"/>
        </w:r>
        <w:r>
          <w:rPr>
            <w:noProof/>
            <w:webHidden/>
          </w:rPr>
          <w:t>6</w:t>
        </w:r>
        <w:r>
          <w:rPr>
            <w:noProof/>
            <w:webHidden/>
          </w:rPr>
          <w:fldChar w:fldCharType="end"/>
        </w:r>
      </w:hyperlink>
    </w:p>
    <w:p w14:paraId="195DE6D7" w14:textId="2A6F4A53" w:rsidR="00341DFC" w:rsidRDefault="00341DFC">
      <w:pPr>
        <w:pStyle w:val="TOC1"/>
        <w:rPr>
          <w:rFonts w:asciiTheme="minorHAnsi" w:eastAsiaTheme="minorEastAsia" w:hAnsiTheme="minorHAnsi" w:cstheme="minorBidi"/>
          <w:noProof/>
          <w:kern w:val="2"/>
          <w:sz w:val="24"/>
          <w:szCs w:val="24"/>
          <w14:ligatures w14:val="standardContextual"/>
        </w:rPr>
      </w:pPr>
      <w:hyperlink w:anchor="_Toc191504503" w:history="1">
        <w:r w:rsidRPr="0036639F">
          <w:rPr>
            <w:rStyle w:val="Hyperlink"/>
            <w:noProof/>
          </w:rPr>
          <w:t>5.</w:t>
        </w:r>
        <w:r>
          <w:rPr>
            <w:rFonts w:asciiTheme="minorHAnsi" w:eastAsiaTheme="minorEastAsia" w:hAnsiTheme="minorHAnsi" w:cstheme="minorBidi"/>
            <w:noProof/>
            <w:kern w:val="2"/>
            <w:sz w:val="24"/>
            <w:szCs w:val="24"/>
            <w14:ligatures w14:val="standardContextual"/>
          </w:rPr>
          <w:tab/>
        </w:r>
        <w:r w:rsidRPr="0036639F">
          <w:rPr>
            <w:rStyle w:val="Hyperlink"/>
            <w:noProof/>
          </w:rPr>
          <w:t>Total Net Benefit Analysis and PPA Pricing</w:t>
        </w:r>
        <w:r>
          <w:rPr>
            <w:noProof/>
            <w:webHidden/>
          </w:rPr>
          <w:tab/>
        </w:r>
        <w:r>
          <w:rPr>
            <w:noProof/>
            <w:webHidden/>
          </w:rPr>
          <w:fldChar w:fldCharType="begin"/>
        </w:r>
        <w:r>
          <w:rPr>
            <w:noProof/>
            <w:webHidden/>
          </w:rPr>
          <w:instrText xml:space="preserve"> PAGEREF _Toc191504503 \h </w:instrText>
        </w:r>
        <w:r>
          <w:rPr>
            <w:noProof/>
            <w:webHidden/>
          </w:rPr>
        </w:r>
        <w:r>
          <w:rPr>
            <w:noProof/>
            <w:webHidden/>
          </w:rPr>
          <w:fldChar w:fldCharType="separate"/>
        </w:r>
        <w:r>
          <w:rPr>
            <w:noProof/>
            <w:webHidden/>
          </w:rPr>
          <w:t>6</w:t>
        </w:r>
        <w:r>
          <w:rPr>
            <w:noProof/>
            <w:webHidden/>
          </w:rPr>
          <w:fldChar w:fldCharType="end"/>
        </w:r>
      </w:hyperlink>
    </w:p>
    <w:p w14:paraId="426D7323" w14:textId="0794C162" w:rsidR="00341DFC" w:rsidRDefault="00341DFC">
      <w:pPr>
        <w:pStyle w:val="TOC2"/>
        <w:rPr>
          <w:rFonts w:asciiTheme="minorHAnsi" w:eastAsiaTheme="minorEastAsia" w:hAnsiTheme="minorHAnsi" w:cstheme="minorBidi"/>
          <w:noProof/>
          <w:kern w:val="2"/>
          <w:sz w:val="24"/>
          <w:szCs w:val="24"/>
          <w14:ligatures w14:val="standardContextual"/>
        </w:rPr>
      </w:pPr>
      <w:hyperlink w:anchor="_Toc191504504" w:history="1">
        <w:r w:rsidRPr="0036639F">
          <w:rPr>
            <w:rStyle w:val="Hyperlink"/>
            <w:noProof/>
          </w:rPr>
          <w:t>5.1</w:t>
        </w:r>
        <w:r>
          <w:rPr>
            <w:rFonts w:asciiTheme="minorHAnsi" w:eastAsiaTheme="minorEastAsia" w:hAnsiTheme="minorHAnsi" w:cstheme="minorBidi"/>
            <w:noProof/>
            <w:kern w:val="2"/>
            <w:sz w:val="24"/>
            <w:szCs w:val="24"/>
            <w14:ligatures w14:val="standardContextual"/>
          </w:rPr>
          <w:tab/>
        </w:r>
        <w:r w:rsidRPr="0036639F">
          <w:rPr>
            <w:rStyle w:val="Hyperlink"/>
            <w:noProof/>
            <w:snapToGrid w:val="0"/>
          </w:rPr>
          <w:t>Total Net Benefit Analysis</w:t>
        </w:r>
        <w:r>
          <w:rPr>
            <w:noProof/>
            <w:webHidden/>
          </w:rPr>
          <w:tab/>
        </w:r>
        <w:r>
          <w:rPr>
            <w:noProof/>
            <w:webHidden/>
          </w:rPr>
          <w:fldChar w:fldCharType="begin"/>
        </w:r>
        <w:r>
          <w:rPr>
            <w:noProof/>
            <w:webHidden/>
          </w:rPr>
          <w:instrText xml:space="preserve"> PAGEREF _Toc191504504 \h </w:instrText>
        </w:r>
        <w:r>
          <w:rPr>
            <w:noProof/>
            <w:webHidden/>
          </w:rPr>
        </w:r>
        <w:r>
          <w:rPr>
            <w:noProof/>
            <w:webHidden/>
          </w:rPr>
          <w:fldChar w:fldCharType="separate"/>
        </w:r>
        <w:r>
          <w:rPr>
            <w:noProof/>
            <w:webHidden/>
          </w:rPr>
          <w:t>6</w:t>
        </w:r>
        <w:r>
          <w:rPr>
            <w:noProof/>
            <w:webHidden/>
          </w:rPr>
          <w:fldChar w:fldCharType="end"/>
        </w:r>
      </w:hyperlink>
    </w:p>
    <w:p w14:paraId="7BE6E5EB" w14:textId="72273FEE" w:rsidR="00341DFC" w:rsidRDefault="00341DFC">
      <w:pPr>
        <w:pStyle w:val="TOC2"/>
        <w:rPr>
          <w:rFonts w:asciiTheme="minorHAnsi" w:eastAsiaTheme="minorEastAsia" w:hAnsiTheme="minorHAnsi" w:cstheme="minorBidi"/>
          <w:noProof/>
          <w:kern w:val="2"/>
          <w:sz w:val="24"/>
          <w:szCs w:val="24"/>
          <w14:ligatures w14:val="standardContextual"/>
        </w:rPr>
      </w:pPr>
      <w:hyperlink w:anchor="_Toc191504505" w:history="1">
        <w:r w:rsidRPr="0036639F">
          <w:rPr>
            <w:rStyle w:val="Hyperlink"/>
            <w:noProof/>
          </w:rPr>
          <w:t>5.2</w:t>
        </w:r>
        <w:r>
          <w:rPr>
            <w:rFonts w:asciiTheme="minorHAnsi" w:eastAsiaTheme="minorEastAsia" w:hAnsiTheme="minorHAnsi" w:cstheme="minorBidi"/>
            <w:noProof/>
            <w:kern w:val="2"/>
            <w:sz w:val="24"/>
            <w:szCs w:val="24"/>
            <w14:ligatures w14:val="standardContextual"/>
          </w:rPr>
          <w:tab/>
        </w:r>
        <w:r w:rsidRPr="0036639F">
          <w:rPr>
            <w:rStyle w:val="Hyperlink"/>
            <w:noProof/>
            <w:snapToGrid w:val="0"/>
          </w:rPr>
          <w:t>Utility Scale Renewable PPA Pricing</w:t>
        </w:r>
        <w:r>
          <w:rPr>
            <w:noProof/>
            <w:webHidden/>
          </w:rPr>
          <w:tab/>
        </w:r>
        <w:r>
          <w:rPr>
            <w:noProof/>
            <w:webHidden/>
          </w:rPr>
          <w:fldChar w:fldCharType="begin"/>
        </w:r>
        <w:r>
          <w:rPr>
            <w:noProof/>
            <w:webHidden/>
          </w:rPr>
          <w:instrText xml:space="preserve"> PAGEREF _Toc191504505 \h </w:instrText>
        </w:r>
        <w:r>
          <w:rPr>
            <w:noProof/>
            <w:webHidden/>
          </w:rPr>
        </w:r>
        <w:r>
          <w:rPr>
            <w:noProof/>
            <w:webHidden/>
          </w:rPr>
          <w:fldChar w:fldCharType="separate"/>
        </w:r>
        <w:r>
          <w:rPr>
            <w:noProof/>
            <w:webHidden/>
          </w:rPr>
          <w:t>7</w:t>
        </w:r>
        <w:r>
          <w:rPr>
            <w:noProof/>
            <w:webHidden/>
          </w:rPr>
          <w:fldChar w:fldCharType="end"/>
        </w:r>
      </w:hyperlink>
    </w:p>
    <w:p w14:paraId="640F7143" w14:textId="761670BF" w:rsidR="00341DFC" w:rsidRDefault="00341DFC">
      <w:pPr>
        <w:pStyle w:val="TOC1"/>
        <w:rPr>
          <w:rFonts w:asciiTheme="minorHAnsi" w:eastAsiaTheme="minorEastAsia" w:hAnsiTheme="minorHAnsi" w:cstheme="minorBidi"/>
          <w:noProof/>
          <w:kern w:val="2"/>
          <w:sz w:val="24"/>
          <w:szCs w:val="24"/>
          <w14:ligatures w14:val="standardContextual"/>
        </w:rPr>
      </w:pPr>
      <w:hyperlink w:anchor="_Toc191504506" w:history="1">
        <w:r w:rsidRPr="0036639F">
          <w:rPr>
            <w:rStyle w:val="Hyperlink"/>
            <w:noProof/>
          </w:rPr>
          <w:t>6.</w:t>
        </w:r>
        <w:r>
          <w:rPr>
            <w:rFonts w:asciiTheme="minorHAnsi" w:eastAsiaTheme="minorEastAsia" w:hAnsiTheme="minorHAnsi" w:cstheme="minorBidi"/>
            <w:noProof/>
            <w:kern w:val="2"/>
            <w:sz w:val="24"/>
            <w:szCs w:val="24"/>
            <w14:ligatures w14:val="standardContextual"/>
          </w:rPr>
          <w:tab/>
        </w:r>
        <w:r w:rsidRPr="0036639F">
          <w:rPr>
            <w:rStyle w:val="Hyperlink"/>
            <w:noProof/>
          </w:rPr>
          <w:t>Certification Requirements</w:t>
        </w:r>
        <w:r>
          <w:rPr>
            <w:noProof/>
            <w:webHidden/>
          </w:rPr>
          <w:tab/>
        </w:r>
        <w:r>
          <w:rPr>
            <w:noProof/>
            <w:webHidden/>
          </w:rPr>
          <w:fldChar w:fldCharType="begin"/>
        </w:r>
        <w:r>
          <w:rPr>
            <w:noProof/>
            <w:webHidden/>
          </w:rPr>
          <w:instrText xml:space="preserve"> PAGEREF _Toc191504506 \h </w:instrText>
        </w:r>
        <w:r>
          <w:rPr>
            <w:noProof/>
            <w:webHidden/>
          </w:rPr>
        </w:r>
        <w:r>
          <w:rPr>
            <w:noProof/>
            <w:webHidden/>
          </w:rPr>
          <w:fldChar w:fldCharType="separate"/>
        </w:r>
        <w:r>
          <w:rPr>
            <w:noProof/>
            <w:webHidden/>
          </w:rPr>
          <w:t>8</w:t>
        </w:r>
        <w:r>
          <w:rPr>
            <w:noProof/>
            <w:webHidden/>
          </w:rPr>
          <w:fldChar w:fldCharType="end"/>
        </w:r>
      </w:hyperlink>
    </w:p>
    <w:p w14:paraId="3F791226" w14:textId="0162EEA5" w:rsidR="00341DFC" w:rsidRDefault="00341DFC">
      <w:pPr>
        <w:pStyle w:val="TOC2"/>
        <w:rPr>
          <w:rFonts w:asciiTheme="minorHAnsi" w:eastAsiaTheme="minorEastAsia" w:hAnsiTheme="minorHAnsi" w:cstheme="minorBidi"/>
          <w:noProof/>
          <w:kern w:val="2"/>
          <w:sz w:val="24"/>
          <w:szCs w:val="24"/>
          <w14:ligatures w14:val="standardContextual"/>
        </w:rPr>
      </w:pPr>
      <w:hyperlink w:anchor="_Toc191504507" w:history="1">
        <w:r w:rsidRPr="0036639F">
          <w:rPr>
            <w:rStyle w:val="Hyperlink"/>
            <w:noProof/>
          </w:rPr>
          <w:t>6.1</w:t>
        </w:r>
        <w:r>
          <w:rPr>
            <w:rFonts w:asciiTheme="minorHAnsi" w:eastAsiaTheme="minorEastAsia" w:hAnsiTheme="minorHAnsi" w:cstheme="minorBidi"/>
            <w:noProof/>
            <w:kern w:val="2"/>
            <w:sz w:val="24"/>
            <w:szCs w:val="24"/>
            <w14:ligatures w14:val="standardContextual"/>
          </w:rPr>
          <w:tab/>
        </w:r>
        <w:r w:rsidRPr="0036639F">
          <w:rPr>
            <w:rStyle w:val="Hyperlink"/>
            <w:noProof/>
          </w:rPr>
          <w:t>2022 IRP Impacts</w:t>
        </w:r>
        <w:r>
          <w:rPr>
            <w:noProof/>
            <w:webHidden/>
          </w:rPr>
          <w:tab/>
        </w:r>
        <w:r>
          <w:rPr>
            <w:noProof/>
            <w:webHidden/>
          </w:rPr>
          <w:fldChar w:fldCharType="begin"/>
        </w:r>
        <w:r>
          <w:rPr>
            <w:noProof/>
            <w:webHidden/>
          </w:rPr>
          <w:instrText xml:space="preserve"> PAGEREF _Toc191504507 \h </w:instrText>
        </w:r>
        <w:r>
          <w:rPr>
            <w:noProof/>
            <w:webHidden/>
          </w:rPr>
        </w:r>
        <w:r>
          <w:rPr>
            <w:noProof/>
            <w:webHidden/>
          </w:rPr>
          <w:fldChar w:fldCharType="separate"/>
        </w:r>
        <w:r>
          <w:rPr>
            <w:noProof/>
            <w:webHidden/>
          </w:rPr>
          <w:t>8</w:t>
        </w:r>
        <w:r>
          <w:rPr>
            <w:noProof/>
            <w:webHidden/>
          </w:rPr>
          <w:fldChar w:fldCharType="end"/>
        </w:r>
      </w:hyperlink>
    </w:p>
    <w:p w14:paraId="22BA0A7B" w14:textId="5CCF880B" w:rsidR="00341DFC" w:rsidRDefault="00341DFC">
      <w:pPr>
        <w:pStyle w:val="TOC2"/>
        <w:rPr>
          <w:rFonts w:asciiTheme="minorHAnsi" w:eastAsiaTheme="minorEastAsia" w:hAnsiTheme="minorHAnsi" w:cstheme="minorBidi"/>
          <w:noProof/>
          <w:kern w:val="2"/>
          <w:sz w:val="24"/>
          <w:szCs w:val="24"/>
          <w14:ligatures w14:val="standardContextual"/>
        </w:rPr>
      </w:pPr>
      <w:hyperlink w:anchor="_Toc191504508" w:history="1">
        <w:r w:rsidRPr="0036639F">
          <w:rPr>
            <w:rStyle w:val="Hyperlink"/>
            <w:noProof/>
          </w:rPr>
          <w:t>6.2</w:t>
        </w:r>
        <w:r>
          <w:rPr>
            <w:rFonts w:asciiTheme="minorHAnsi" w:eastAsiaTheme="minorEastAsia" w:hAnsiTheme="minorHAnsi" w:cstheme="minorBidi"/>
            <w:noProof/>
            <w:kern w:val="2"/>
            <w:sz w:val="24"/>
            <w:szCs w:val="24"/>
            <w14:ligatures w14:val="standardContextual"/>
          </w:rPr>
          <w:tab/>
        </w:r>
        <w:r w:rsidRPr="0036639F">
          <w:rPr>
            <w:rStyle w:val="Hyperlink"/>
            <w:noProof/>
          </w:rPr>
          <w:t>Revised Near –Term Action Plan</w:t>
        </w:r>
        <w:r>
          <w:rPr>
            <w:noProof/>
            <w:webHidden/>
          </w:rPr>
          <w:tab/>
        </w:r>
        <w:r>
          <w:rPr>
            <w:noProof/>
            <w:webHidden/>
          </w:rPr>
          <w:fldChar w:fldCharType="begin"/>
        </w:r>
        <w:r>
          <w:rPr>
            <w:noProof/>
            <w:webHidden/>
          </w:rPr>
          <w:instrText xml:space="preserve"> PAGEREF _Toc191504508 \h </w:instrText>
        </w:r>
        <w:r>
          <w:rPr>
            <w:noProof/>
            <w:webHidden/>
          </w:rPr>
        </w:r>
        <w:r>
          <w:rPr>
            <w:noProof/>
            <w:webHidden/>
          </w:rPr>
          <w:fldChar w:fldCharType="separate"/>
        </w:r>
        <w:r>
          <w:rPr>
            <w:noProof/>
            <w:webHidden/>
          </w:rPr>
          <w:t>9</w:t>
        </w:r>
        <w:r>
          <w:rPr>
            <w:noProof/>
            <w:webHidden/>
          </w:rPr>
          <w:fldChar w:fldCharType="end"/>
        </w:r>
      </w:hyperlink>
    </w:p>
    <w:p w14:paraId="5630DFE2" w14:textId="59395300" w:rsidR="00341DFC" w:rsidRDefault="00341DFC">
      <w:pPr>
        <w:pStyle w:val="TOC2"/>
        <w:rPr>
          <w:rFonts w:asciiTheme="minorHAnsi" w:eastAsiaTheme="minorEastAsia" w:hAnsiTheme="minorHAnsi" w:cstheme="minorBidi"/>
          <w:noProof/>
          <w:kern w:val="2"/>
          <w:sz w:val="24"/>
          <w:szCs w:val="24"/>
          <w14:ligatures w14:val="standardContextual"/>
        </w:rPr>
      </w:pPr>
      <w:hyperlink w:anchor="_Toc191504509" w:history="1">
        <w:r w:rsidRPr="0036639F">
          <w:rPr>
            <w:rStyle w:val="Hyperlink"/>
            <w:noProof/>
          </w:rPr>
          <w:t>6.3</w:t>
        </w:r>
        <w:r>
          <w:rPr>
            <w:rFonts w:asciiTheme="minorHAnsi" w:eastAsiaTheme="minorEastAsia" w:hAnsiTheme="minorHAnsi" w:cstheme="minorBidi"/>
            <w:noProof/>
            <w:kern w:val="2"/>
            <w:sz w:val="24"/>
            <w:szCs w:val="24"/>
            <w14:ligatures w14:val="standardContextual"/>
          </w:rPr>
          <w:tab/>
        </w:r>
        <w:r w:rsidRPr="0036639F">
          <w:rPr>
            <w:rStyle w:val="Hyperlink"/>
            <w:noProof/>
          </w:rPr>
          <w:t>Proposed Ratemaking Treatment of Costs</w:t>
        </w:r>
        <w:r>
          <w:rPr>
            <w:noProof/>
            <w:webHidden/>
          </w:rPr>
          <w:tab/>
        </w:r>
        <w:r>
          <w:rPr>
            <w:noProof/>
            <w:webHidden/>
          </w:rPr>
          <w:fldChar w:fldCharType="begin"/>
        </w:r>
        <w:r>
          <w:rPr>
            <w:noProof/>
            <w:webHidden/>
          </w:rPr>
          <w:instrText xml:space="preserve"> PAGEREF _Toc191504509 \h </w:instrText>
        </w:r>
        <w:r>
          <w:rPr>
            <w:noProof/>
            <w:webHidden/>
          </w:rPr>
        </w:r>
        <w:r>
          <w:rPr>
            <w:noProof/>
            <w:webHidden/>
          </w:rPr>
          <w:fldChar w:fldCharType="separate"/>
        </w:r>
        <w:r>
          <w:rPr>
            <w:noProof/>
            <w:webHidden/>
          </w:rPr>
          <w:t>10</w:t>
        </w:r>
        <w:r>
          <w:rPr>
            <w:noProof/>
            <w:webHidden/>
          </w:rPr>
          <w:fldChar w:fldCharType="end"/>
        </w:r>
      </w:hyperlink>
    </w:p>
    <w:p w14:paraId="2C09BAB8" w14:textId="3226091B" w:rsidR="00341DFC" w:rsidRDefault="00341DFC">
      <w:pPr>
        <w:pStyle w:val="TOC2"/>
        <w:rPr>
          <w:rFonts w:asciiTheme="minorHAnsi" w:eastAsiaTheme="minorEastAsia" w:hAnsiTheme="minorHAnsi" w:cstheme="minorBidi"/>
          <w:noProof/>
          <w:kern w:val="2"/>
          <w:sz w:val="24"/>
          <w:szCs w:val="24"/>
          <w14:ligatures w14:val="standardContextual"/>
        </w:rPr>
      </w:pPr>
      <w:hyperlink w:anchor="_Toc191504510" w:history="1">
        <w:r w:rsidRPr="0036639F">
          <w:rPr>
            <w:rStyle w:val="Hyperlink"/>
            <w:noProof/>
          </w:rPr>
          <w:t>6.4</w:t>
        </w:r>
        <w:r>
          <w:rPr>
            <w:rFonts w:asciiTheme="minorHAnsi" w:eastAsiaTheme="minorEastAsia" w:hAnsiTheme="minorHAnsi" w:cstheme="minorBidi"/>
            <w:noProof/>
            <w:kern w:val="2"/>
            <w:sz w:val="24"/>
            <w:szCs w:val="24"/>
            <w14:ligatures w14:val="standardContextual"/>
          </w:rPr>
          <w:tab/>
        </w:r>
        <w:r w:rsidRPr="0036639F">
          <w:rPr>
            <w:rStyle w:val="Hyperlink"/>
            <w:noProof/>
          </w:rPr>
          <w:t>Additional Sum</w:t>
        </w:r>
        <w:r>
          <w:rPr>
            <w:noProof/>
            <w:webHidden/>
          </w:rPr>
          <w:tab/>
        </w:r>
        <w:r>
          <w:rPr>
            <w:noProof/>
            <w:webHidden/>
          </w:rPr>
          <w:fldChar w:fldCharType="begin"/>
        </w:r>
        <w:r>
          <w:rPr>
            <w:noProof/>
            <w:webHidden/>
          </w:rPr>
          <w:instrText xml:space="preserve"> PAGEREF _Toc191504510 \h </w:instrText>
        </w:r>
        <w:r>
          <w:rPr>
            <w:noProof/>
            <w:webHidden/>
          </w:rPr>
        </w:r>
        <w:r>
          <w:rPr>
            <w:noProof/>
            <w:webHidden/>
          </w:rPr>
          <w:fldChar w:fldCharType="separate"/>
        </w:r>
        <w:r>
          <w:rPr>
            <w:noProof/>
            <w:webHidden/>
          </w:rPr>
          <w:t>10</w:t>
        </w:r>
        <w:r>
          <w:rPr>
            <w:noProof/>
            <w:webHidden/>
          </w:rPr>
          <w:fldChar w:fldCharType="end"/>
        </w:r>
      </w:hyperlink>
    </w:p>
    <w:p w14:paraId="0C4CE19D" w14:textId="54C5F46D" w:rsidR="00341DFC" w:rsidRDefault="00341DFC">
      <w:pPr>
        <w:pStyle w:val="TOC1"/>
        <w:rPr>
          <w:rFonts w:asciiTheme="minorHAnsi" w:eastAsiaTheme="minorEastAsia" w:hAnsiTheme="minorHAnsi" w:cstheme="minorBidi"/>
          <w:noProof/>
          <w:kern w:val="2"/>
          <w:sz w:val="24"/>
          <w:szCs w:val="24"/>
          <w14:ligatures w14:val="standardContextual"/>
        </w:rPr>
      </w:pPr>
      <w:hyperlink w:anchor="_Toc191504511" w:history="1">
        <w:r w:rsidRPr="0036639F">
          <w:rPr>
            <w:rStyle w:val="Hyperlink"/>
            <w:noProof/>
          </w:rPr>
          <w:t>7.</w:t>
        </w:r>
        <w:r>
          <w:rPr>
            <w:rFonts w:asciiTheme="minorHAnsi" w:eastAsiaTheme="minorEastAsia" w:hAnsiTheme="minorHAnsi" w:cstheme="minorBidi"/>
            <w:noProof/>
            <w:kern w:val="2"/>
            <w:sz w:val="24"/>
            <w:szCs w:val="24"/>
            <w14:ligatures w14:val="standardContextual"/>
          </w:rPr>
          <w:tab/>
        </w:r>
        <w:r w:rsidRPr="0036639F">
          <w:rPr>
            <w:rStyle w:val="Hyperlink"/>
            <w:noProof/>
          </w:rPr>
          <w:t>Conclusion</w:t>
        </w:r>
        <w:r>
          <w:rPr>
            <w:noProof/>
            <w:webHidden/>
          </w:rPr>
          <w:tab/>
        </w:r>
        <w:r>
          <w:rPr>
            <w:noProof/>
            <w:webHidden/>
          </w:rPr>
          <w:fldChar w:fldCharType="begin"/>
        </w:r>
        <w:r>
          <w:rPr>
            <w:noProof/>
            <w:webHidden/>
          </w:rPr>
          <w:instrText xml:space="preserve"> PAGEREF _Toc191504511 \h </w:instrText>
        </w:r>
        <w:r>
          <w:rPr>
            <w:noProof/>
            <w:webHidden/>
          </w:rPr>
        </w:r>
        <w:r>
          <w:rPr>
            <w:noProof/>
            <w:webHidden/>
          </w:rPr>
          <w:fldChar w:fldCharType="separate"/>
        </w:r>
        <w:r>
          <w:rPr>
            <w:noProof/>
            <w:webHidden/>
          </w:rPr>
          <w:t>11</w:t>
        </w:r>
        <w:r>
          <w:rPr>
            <w:noProof/>
            <w:webHidden/>
          </w:rPr>
          <w:fldChar w:fldCharType="end"/>
        </w:r>
      </w:hyperlink>
    </w:p>
    <w:p w14:paraId="2B9E82BF" w14:textId="7C78036C" w:rsidR="00EF4951" w:rsidRDefault="00580390" w:rsidP="00B10A3E">
      <w:pPr>
        <w:spacing w:line="360" w:lineRule="auto"/>
      </w:pPr>
      <w:r w:rsidRPr="00B25DA4">
        <w:rPr>
          <w:highlight w:val="yellow"/>
        </w:rPr>
        <w:fldChar w:fldCharType="end"/>
      </w:r>
      <w:bookmarkStart w:id="3" w:name="mpTableOfContents"/>
    </w:p>
    <w:p w14:paraId="2F3FB69C" w14:textId="4D03CCB0" w:rsidR="009C69C6" w:rsidRDefault="00580390" w:rsidP="00B10A3E">
      <w:pPr>
        <w:spacing w:line="360" w:lineRule="auto"/>
      </w:pPr>
      <w:r w:rsidRPr="0022238F">
        <w:t>Appendix A:</w:t>
      </w:r>
      <w:r w:rsidR="00C931F0">
        <w:t xml:space="preserve">    </w:t>
      </w:r>
    </w:p>
    <w:p w14:paraId="2E619BC0" w14:textId="3EA085F4" w:rsidR="00EF4951" w:rsidRPr="0022238F" w:rsidRDefault="00EF4951" w:rsidP="001C47F4">
      <w:pPr>
        <w:spacing w:line="360" w:lineRule="auto"/>
        <w:ind w:firstLine="360"/>
      </w:pPr>
      <w:r w:rsidRPr="0022238F">
        <w:t xml:space="preserve">Georgia Power </w:t>
      </w:r>
      <w:r w:rsidR="00DA6483" w:rsidRPr="0022238F">
        <w:t xml:space="preserve">CARES </w:t>
      </w:r>
      <w:r w:rsidRPr="0022238F">
        <w:t xml:space="preserve">2023 Utility Scale PPA </w:t>
      </w:r>
      <w:r w:rsidR="009C69C6">
        <w:t xml:space="preserve">(Energy Only) </w:t>
      </w:r>
      <w:r w:rsidRPr="0022238F">
        <w:t>with</w:t>
      </w:r>
      <w:r w:rsidR="00CC65BD">
        <w:t xml:space="preserve"> </w:t>
      </w:r>
      <w:r w:rsidR="009850D1">
        <w:t>GA Solar 5, LLC</w:t>
      </w:r>
      <w:r w:rsidRPr="0022238F" w:rsidDel="00EF4951">
        <w:t xml:space="preserve"> </w:t>
      </w:r>
    </w:p>
    <w:p w14:paraId="2EA77FF2" w14:textId="108535D1" w:rsidR="00EF4951" w:rsidRPr="0022238F" w:rsidRDefault="00EF4951" w:rsidP="001C47F4">
      <w:pPr>
        <w:spacing w:line="360" w:lineRule="auto"/>
        <w:ind w:firstLine="360"/>
      </w:pPr>
      <w:r w:rsidRPr="0022238F">
        <w:t xml:space="preserve">Georgia Power </w:t>
      </w:r>
      <w:r w:rsidR="00DA6483" w:rsidRPr="0022238F">
        <w:t xml:space="preserve">CARES </w:t>
      </w:r>
      <w:r w:rsidRPr="0022238F">
        <w:t xml:space="preserve">2023 Utility Scale PPA </w:t>
      </w:r>
      <w:r w:rsidR="009C69C6">
        <w:t xml:space="preserve">(Energy Only) </w:t>
      </w:r>
      <w:r w:rsidRPr="0022238F">
        <w:t>with</w:t>
      </w:r>
      <w:r w:rsidR="00CC65BD">
        <w:t xml:space="preserve"> </w:t>
      </w:r>
      <w:r w:rsidR="009850D1">
        <w:t>Wilsonville Solar, LLC</w:t>
      </w:r>
    </w:p>
    <w:p w14:paraId="21B6DD28" w14:textId="440B6127" w:rsidR="00B10A3E" w:rsidRPr="0022238F" w:rsidRDefault="00EF4951" w:rsidP="001C47F4">
      <w:pPr>
        <w:spacing w:line="360" w:lineRule="auto"/>
        <w:ind w:firstLine="360"/>
      </w:pPr>
      <w:r w:rsidRPr="0022238F">
        <w:t xml:space="preserve">Georgia Power </w:t>
      </w:r>
      <w:r w:rsidR="00DA6483" w:rsidRPr="0022238F">
        <w:t xml:space="preserve">CARES </w:t>
      </w:r>
      <w:r w:rsidRPr="0022238F">
        <w:t xml:space="preserve">2023 </w:t>
      </w:r>
      <w:r w:rsidR="00580390" w:rsidRPr="0022238F">
        <w:t>Utility Scale PPA</w:t>
      </w:r>
      <w:r w:rsidR="009C69C6">
        <w:t xml:space="preserve"> (Energy with Storage)</w:t>
      </w:r>
      <w:r w:rsidR="00580390" w:rsidRPr="0022238F">
        <w:t xml:space="preserve"> with</w:t>
      </w:r>
      <w:r w:rsidR="00CC65BD" w:rsidRPr="00CC65BD">
        <w:rPr>
          <w:szCs w:val="24"/>
        </w:rPr>
        <w:t xml:space="preserve"> </w:t>
      </w:r>
      <w:r w:rsidR="009850D1">
        <w:rPr>
          <w:szCs w:val="24"/>
        </w:rPr>
        <w:t>Beaver Creek Solar I, LLC</w:t>
      </w:r>
    </w:p>
    <w:p w14:paraId="2FE487AC" w14:textId="3252974E" w:rsidR="00EF4951" w:rsidRDefault="00EF4951" w:rsidP="001C47F4">
      <w:pPr>
        <w:spacing w:line="360" w:lineRule="auto"/>
        <w:ind w:firstLine="360"/>
        <w:rPr>
          <w:szCs w:val="24"/>
        </w:rPr>
      </w:pPr>
      <w:r w:rsidRPr="0022238F">
        <w:t xml:space="preserve">Georgia Power </w:t>
      </w:r>
      <w:r w:rsidR="00DA6483" w:rsidRPr="0022238F">
        <w:t xml:space="preserve">CARES </w:t>
      </w:r>
      <w:r w:rsidRPr="0022238F">
        <w:t xml:space="preserve">2023 Utility Scale PPA </w:t>
      </w:r>
      <w:r w:rsidR="009C69C6">
        <w:t xml:space="preserve">(Energy Only) </w:t>
      </w:r>
      <w:r w:rsidRPr="0022238F">
        <w:t>with</w:t>
      </w:r>
      <w:r w:rsidR="00CC65BD">
        <w:t xml:space="preserve"> </w:t>
      </w:r>
      <w:r w:rsidR="00CC65BD" w:rsidRPr="0018245D">
        <w:rPr>
          <w:szCs w:val="24"/>
        </w:rPr>
        <w:t>Stellar</w:t>
      </w:r>
      <w:r w:rsidR="009850D1">
        <w:rPr>
          <w:szCs w:val="24"/>
        </w:rPr>
        <w:t xml:space="preserve"> Dry Creek Solar, LLC</w:t>
      </w:r>
    </w:p>
    <w:p w14:paraId="19F10F98" w14:textId="55688AC9" w:rsidR="00CC65BD" w:rsidRDefault="00CC65BD" w:rsidP="001C47F4">
      <w:pPr>
        <w:spacing w:line="360" w:lineRule="auto"/>
        <w:ind w:firstLine="360"/>
        <w:rPr>
          <w:szCs w:val="24"/>
        </w:rPr>
      </w:pPr>
      <w:r w:rsidRPr="0022238F">
        <w:t xml:space="preserve">Georgia Power CARES 2023 Utility Scale PPA </w:t>
      </w:r>
      <w:r w:rsidR="009C69C6">
        <w:t xml:space="preserve">(Energy Only) </w:t>
      </w:r>
      <w:r w:rsidRPr="0022238F">
        <w:t>with</w:t>
      </w:r>
      <w:r>
        <w:t xml:space="preserve"> </w:t>
      </w:r>
      <w:r w:rsidRPr="0018245D">
        <w:rPr>
          <w:szCs w:val="24"/>
        </w:rPr>
        <w:t xml:space="preserve">Stellar </w:t>
      </w:r>
      <w:r w:rsidR="009850D1">
        <w:rPr>
          <w:szCs w:val="24"/>
        </w:rPr>
        <w:t>Shamrock Solar</w:t>
      </w:r>
      <w:r w:rsidR="00E248B0">
        <w:rPr>
          <w:szCs w:val="24"/>
        </w:rPr>
        <w:t>, LLC</w:t>
      </w:r>
    </w:p>
    <w:p w14:paraId="31DA65BB" w14:textId="77777777" w:rsidR="00B10A3E" w:rsidRDefault="00B10A3E" w:rsidP="0037297F">
      <w:pPr>
        <w:spacing w:line="360" w:lineRule="auto"/>
      </w:pPr>
    </w:p>
    <w:p w14:paraId="227D8071" w14:textId="77777777" w:rsidR="00B10A3E" w:rsidRDefault="00B10A3E" w:rsidP="00B10A3E">
      <w:pPr>
        <w:spacing w:line="360" w:lineRule="auto"/>
        <w:ind w:left="720" w:firstLine="720"/>
        <w:sectPr w:rsidR="00B10A3E" w:rsidSect="00B10A3E">
          <w:pgSz w:w="12240" w:h="15840" w:code="1"/>
          <w:pgMar w:top="1440" w:right="1440" w:bottom="1440" w:left="1440" w:header="576" w:footer="720" w:gutter="0"/>
          <w:pgNumType w:fmt="lowerRoman"/>
          <w:cols w:space="720"/>
          <w:noEndnote/>
          <w:titlePg/>
        </w:sectPr>
      </w:pPr>
    </w:p>
    <w:bookmarkEnd w:id="3"/>
    <w:p w14:paraId="67F17343" w14:textId="24430506" w:rsidR="00B10A3E" w:rsidRPr="009211A2" w:rsidRDefault="00580390" w:rsidP="009211A2">
      <w:pPr>
        <w:ind w:firstLine="90"/>
        <w:jc w:val="center"/>
        <w:rPr>
          <w:b/>
          <w:sz w:val="24"/>
        </w:rPr>
      </w:pPr>
      <w:r w:rsidRPr="00C43553">
        <w:rPr>
          <w:b/>
          <w:sz w:val="24"/>
        </w:rPr>
        <w:lastRenderedPageBreak/>
        <w:t>Georgia Power Company’s Application for the</w:t>
      </w:r>
      <w:r w:rsidR="00B8123E">
        <w:rPr>
          <w:b/>
          <w:sz w:val="24"/>
        </w:rPr>
        <w:t xml:space="preserve"> </w:t>
      </w:r>
      <w:r w:rsidRPr="009211A2">
        <w:rPr>
          <w:b/>
          <w:sz w:val="24"/>
        </w:rPr>
        <w:t xml:space="preserve">Certification of the </w:t>
      </w:r>
      <w:r w:rsidR="005678FC">
        <w:rPr>
          <w:b/>
          <w:sz w:val="24"/>
        </w:rPr>
        <w:t>CARES 2023</w:t>
      </w:r>
      <w:r w:rsidRPr="009211A2">
        <w:rPr>
          <w:b/>
          <w:sz w:val="24"/>
        </w:rPr>
        <w:t xml:space="preserve"> Utility Scale</w:t>
      </w:r>
      <w:r w:rsidR="00CB2D06">
        <w:rPr>
          <w:b/>
          <w:sz w:val="24"/>
        </w:rPr>
        <w:t xml:space="preserve"> Renewable</w:t>
      </w:r>
      <w:r w:rsidRPr="009211A2">
        <w:rPr>
          <w:b/>
          <w:sz w:val="24"/>
        </w:rPr>
        <w:t xml:space="preserve"> Power Purchase Agreements </w:t>
      </w:r>
    </w:p>
    <w:p w14:paraId="34DFC3E8" w14:textId="16F08245" w:rsidR="00B10A3E" w:rsidRPr="007C70C4" w:rsidRDefault="00580390" w:rsidP="00B10A3E">
      <w:pPr>
        <w:pStyle w:val="Heading1"/>
        <w:tabs>
          <w:tab w:val="clear" w:pos="360"/>
          <w:tab w:val="num" w:pos="0"/>
        </w:tabs>
        <w:spacing w:before="360" w:after="120" w:line="360" w:lineRule="auto"/>
        <w:ind w:left="720" w:hanging="720"/>
      </w:pPr>
      <w:bookmarkStart w:id="4" w:name="_Hlt9238686"/>
      <w:bookmarkStart w:id="5" w:name="_Toc242591671"/>
      <w:bookmarkStart w:id="6" w:name="_Toc191504497"/>
      <w:bookmarkEnd w:id="4"/>
      <w:r w:rsidRPr="007C70C4">
        <w:t>Executive Summary</w:t>
      </w:r>
      <w:bookmarkEnd w:id="5"/>
      <w:bookmarkEnd w:id="6"/>
    </w:p>
    <w:p w14:paraId="076B6AB6" w14:textId="40563FCB" w:rsidR="00B10A3E" w:rsidRDefault="002F71CC" w:rsidP="00B10A3E">
      <w:pPr>
        <w:pStyle w:val="Heading2"/>
        <w:tabs>
          <w:tab w:val="clear" w:pos="7362"/>
          <w:tab w:val="num" w:pos="1440"/>
        </w:tabs>
        <w:spacing w:after="120" w:line="360" w:lineRule="auto"/>
        <w:ind w:left="720" w:firstLine="0"/>
      </w:pPr>
      <w:bookmarkStart w:id="7" w:name="_Toc191504498"/>
      <w:r>
        <w:t>Certification of Resources</w:t>
      </w:r>
      <w:bookmarkEnd w:id="7"/>
    </w:p>
    <w:p w14:paraId="33E3DFFE" w14:textId="273C5388" w:rsidR="00796688" w:rsidRDefault="00796688" w:rsidP="001C47F4">
      <w:pPr>
        <w:pStyle w:val="BodyText"/>
        <w:rPr>
          <w:rFonts w:ascii="Times New Roman" w:hAnsi="Times New Roman"/>
          <w:szCs w:val="24"/>
        </w:rPr>
      </w:pPr>
      <w:r>
        <w:rPr>
          <w:rFonts w:ascii="Times New Roman" w:hAnsi="Times New Roman"/>
          <w:szCs w:val="24"/>
        </w:rPr>
        <w:t xml:space="preserve">Georgia Power Company (“Georgia Power” or the “Company”) files with the Georgia Public Service Commission (the “Commission”) its Application for the </w:t>
      </w:r>
      <w:r w:rsidRPr="00627061">
        <w:rPr>
          <w:rFonts w:ascii="Times New Roman" w:hAnsi="Times New Roman"/>
          <w:szCs w:val="24"/>
        </w:rPr>
        <w:t xml:space="preserve">Certification of the </w:t>
      </w:r>
      <w:r w:rsidR="00113A5C">
        <w:rPr>
          <w:rFonts w:ascii="Times New Roman" w:hAnsi="Times New Roman"/>
          <w:szCs w:val="24"/>
        </w:rPr>
        <w:t xml:space="preserve">CARES </w:t>
      </w:r>
      <w:r>
        <w:rPr>
          <w:rFonts w:ascii="Times New Roman" w:hAnsi="Times New Roman"/>
          <w:szCs w:val="24"/>
        </w:rPr>
        <w:t>2023</w:t>
      </w:r>
      <w:r w:rsidRPr="00627061">
        <w:rPr>
          <w:rFonts w:ascii="Times New Roman" w:hAnsi="Times New Roman"/>
          <w:szCs w:val="24"/>
        </w:rPr>
        <w:t xml:space="preserve"> </w:t>
      </w:r>
      <w:r>
        <w:rPr>
          <w:rFonts w:ascii="Times New Roman" w:hAnsi="Times New Roman"/>
          <w:szCs w:val="24"/>
        </w:rPr>
        <w:t xml:space="preserve">Utility Scale Renewable Power </w:t>
      </w:r>
      <w:r w:rsidRPr="00627061">
        <w:rPr>
          <w:rFonts w:ascii="Times New Roman" w:hAnsi="Times New Roman"/>
          <w:szCs w:val="24"/>
        </w:rPr>
        <w:t>Purchase Agreements</w:t>
      </w:r>
      <w:r>
        <w:rPr>
          <w:rFonts w:ascii="Times New Roman" w:hAnsi="Times New Roman"/>
          <w:szCs w:val="24"/>
        </w:rPr>
        <w:t xml:space="preserve"> (“PPAs”), which have been awarded pursuant to the </w:t>
      </w:r>
      <w:r w:rsidR="00113A5C">
        <w:rPr>
          <w:rFonts w:ascii="Times New Roman" w:hAnsi="Times New Roman"/>
          <w:szCs w:val="24"/>
        </w:rPr>
        <w:t xml:space="preserve">CARES </w:t>
      </w:r>
      <w:r>
        <w:rPr>
          <w:rFonts w:ascii="Times New Roman" w:hAnsi="Times New Roman"/>
          <w:szCs w:val="24"/>
        </w:rPr>
        <w:t>2023 Utility Scale Renewable Request for Proposal (“</w:t>
      </w:r>
      <w:r w:rsidR="009A183F">
        <w:rPr>
          <w:rFonts w:ascii="Times New Roman" w:hAnsi="Times New Roman"/>
          <w:szCs w:val="24"/>
        </w:rPr>
        <w:t>CARES 2023 US</w:t>
      </w:r>
      <w:r>
        <w:rPr>
          <w:rFonts w:ascii="Times New Roman" w:hAnsi="Times New Roman"/>
          <w:szCs w:val="24"/>
        </w:rPr>
        <w:t xml:space="preserve"> RFP”).</w:t>
      </w:r>
    </w:p>
    <w:p w14:paraId="5CCC9ECB" w14:textId="097B13D7" w:rsidR="00796688" w:rsidRDefault="00A51F5C" w:rsidP="001C47F4">
      <w:pPr>
        <w:pStyle w:val="BodyText"/>
        <w:rPr>
          <w:rFonts w:ascii="Times New Roman" w:hAnsi="Times New Roman"/>
        </w:rPr>
      </w:pPr>
      <w:r w:rsidRPr="09662B8F">
        <w:rPr>
          <w:rFonts w:ascii="Times New Roman" w:hAnsi="Times New Roman"/>
        </w:rPr>
        <w:t xml:space="preserve">The Commission’s Order Adopting Stipulation in Docket No. </w:t>
      </w:r>
      <w:r w:rsidR="00E22945" w:rsidRPr="09662B8F">
        <w:rPr>
          <w:rFonts w:ascii="Times New Roman" w:hAnsi="Times New Roman"/>
        </w:rPr>
        <w:t>44160</w:t>
      </w:r>
      <w:r w:rsidRPr="09662B8F">
        <w:rPr>
          <w:rFonts w:ascii="Times New Roman" w:hAnsi="Times New Roman"/>
        </w:rPr>
        <w:t xml:space="preserve"> regarding Georgia Power</w:t>
      </w:r>
      <w:r w:rsidR="00796688" w:rsidRPr="09662B8F">
        <w:rPr>
          <w:rFonts w:ascii="Times New Roman" w:hAnsi="Times New Roman"/>
        </w:rPr>
        <w:t>’s</w:t>
      </w:r>
      <w:r w:rsidRPr="09662B8F">
        <w:rPr>
          <w:rFonts w:ascii="Times New Roman" w:hAnsi="Times New Roman"/>
        </w:rPr>
        <w:t xml:space="preserve"> </w:t>
      </w:r>
      <w:r w:rsidR="00E22945" w:rsidRPr="09662B8F">
        <w:rPr>
          <w:rFonts w:ascii="Times New Roman" w:hAnsi="Times New Roman"/>
        </w:rPr>
        <w:t>2022</w:t>
      </w:r>
      <w:r w:rsidR="009A183F" w:rsidRPr="09662B8F">
        <w:rPr>
          <w:rFonts w:ascii="Times New Roman" w:hAnsi="Times New Roman"/>
        </w:rPr>
        <w:t xml:space="preserve"> Integrated Resource Plan</w:t>
      </w:r>
      <w:r w:rsidRPr="09662B8F">
        <w:rPr>
          <w:rFonts w:ascii="Times New Roman" w:hAnsi="Times New Roman"/>
        </w:rPr>
        <w:t xml:space="preserve"> </w:t>
      </w:r>
      <w:r w:rsidR="009A183F" w:rsidRPr="09662B8F">
        <w:rPr>
          <w:rFonts w:ascii="Times New Roman" w:hAnsi="Times New Roman"/>
        </w:rPr>
        <w:t xml:space="preserve">(“2022 IRP Final Order”) </w:t>
      </w:r>
      <w:r w:rsidRPr="09662B8F">
        <w:rPr>
          <w:rFonts w:ascii="Times New Roman" w:hAnsi="Times New Roman"/>
        </w:rPr>
        <w:t>approved a stipulation setting forth a supply-side plan that included the directive to procure 2,</w:t>
      </w:r>
      <w:r w:rsidR="00E22945" w:rsidRPr="09662B8F">
        <w:rPr>
          <w:rFonts w:ascii="Times New Roman" w:hAnsi="Times New Roman"/>
        </w:rPr>
        <w:t>1</w:t>
      </w:r>
      <w:r w:rsidRPr="09662B8F">
        <w:rPr>
          <w:rFonts w:ascii="Times New Roman" w:hAnsi="Times New Roman"/>
        </w:rPr>
        <w:t>00 MW of utility scale renewable resources</w:t>
      </w:r>
      <w:r w:rsidR="00E22945" w:rsidRPr="09662B8F">
        <w:rPr>
          <w:rFonts w:ascii="Times New Roman" w:hAnsi="Times New Roman"/>
        </w:rPr>
        <w:t>, including</w:t>
      </w:r>
      <w:r w:rsidR="008B1ADE">
        <w:rPr>
          <w:rFonts w:ascii="Times New Roman" w:hAnsi="Times New Roman"/>
        </w:rPr>
        <w:t xml:space="preserve"> 650 MW from</w:t>
      </w:r>
      <w:r w:rsidR="00E22945" w:rsidRPr="09662B8F">
        <w:rPr>
          <w:rFonts w:ascii="Times New Roman" w:hAnsi="Times New Roman"/>
        </w:rPr>
        <w:t xml:space="preserve"> </w:t>
      </w:r>
      <w:r w:rsidR="00E975A6">
        <w:rPr>
          <w:rFonts w:ascii="Times New Roman" w:hAnsi="Times New Roman"/>
        </w:rPr>
        <w:t xml:space="preserve">around the clock carbon free </w:t>
      </w:r>
      <w:r w:rsidR="00E22945" w:rsidRPr="09662B8F">
        <w:rPr>
          <w:rFonts w:ascii="Times New Roman" w:hAnsi="Times New Roman"/>
        </w:rPr>
        <w:t>energy resources (“</w:t>
      </w:r>
      <w:proofErr w:type="spellStart"/>
      <w:r w:rsidR="00E22945" w:rsidRPr="09662B8F">
        <w:rPr>
          <w:rFonts w:ascii="Times New Roman" w:hAnsi="Times New Roman"/>
        </w:rPr>
        <w:t>CFE</w:t>
      </w:r>
      <w:proofErr w:type="spellEnd"/>
      <w:r w:rsidR="00E22945" w:rsidRPr="09662B8F">
        <w:rPr>
          <w:rFonts w:ascii="Times New Roman" w:hAnsi="Times New Roman"/>
        </w:rPr>
        <w:t xml:space="preserve">-ATC”). </w:t>
      </w:r>
      <w:r w:rsidR="667DBF79" w:rsidRPr="1A7AF640">
        <w:rPr>
          <w:rFonts w:ascii="Times New Roman" w:hAnsi="Times New Roman"/>
        </w:rPr>
        <w:t xml:space="preserve">In addition, </w:t>
      </w:r>
      <w:r w:rsidR="445D10DC" w:rsidRPr="1A7AF640">
        <w:rPr>
          <w:rFonts w:ascii="Times New Roman" w:hAnsi="Times New Roman"/>
        </w:rPr>
        <w:t>t</w:t>
      </w:r>
      <w:r w:rsidR="57D81D91" w:rsidRPr="1A7AF640">
        <w:rPr>
          <w:rFonts w:ascii="Times New Roman" w:hAnsi="Times New Roman"/>
        </w:rPr>
        <w:t>he</w:t>
      </w:r>
      <w:r w:rsidR="00E22945" w:rsidRPr="09662B8F">
        <w:rPr>
          <w:rFonts w:ascii="Times New Roman" w:hAnsi="Times New Roman"/>
        </w:rPr>
        <w:t xml:space="preserve"> Company roll</w:t>
      </w:r>
      <w:r w:rsidR="009A183F" w:rsidRPr="09662B8F">
        <w:rPr>
          <w:rFonts w:ascii="Times New Roman" w:hAnsi="Times New Roman"/>
        </w:rPr>
        <w:t>ed</w:t>
      </w:r>
      <w:r w:rsidR="00E22945" w:rsidRPr="09662B8F">
        <w:rPr>
          <w:rFonts w:ascii="Times New Roman" w:hAnsi="Times New Roman"/>
        </w:rPr>
        <w:t xml:space="preserve"> forward 1,250 MW left unfilled from previous utility scale </w:t>
      </w:r>
      <w:r w:rsidR="658781D5" w:rsidRPr="09662B8F">
        <w:rPr>
          <w:rFonts w:ascii="Times New Roman" w:hAnsi="Times New Roman"/>
        </w:rPr>
        <w:t xml:space="preserve">renewable </w:t>
      </w:r>
      <w:r w:rsidR="00E22945" w:rsidRPr="09662B8F">
        <w:rPr>
          <w:rFonts w:ascii="Times New Roman" w:hAnsi="Times New Roman"/>
        </w:rPr>
        <w:t>procurements for a total target of 3,350 MW to be procured</w:t>
      </w:r>
      <w:r w:rsidR="009A183F" w:rsidRPr="09662B8F">
        <w:rPr>
          <w:rFonts w:ascii="Times New Roman" w:hAnsi="Times New Roman"/>
        </w:rPr>
        <w:t xml:space="preserve"> through</w:t>
      </w:r>
      <w:r w:rsidR="00E22945" w:rsidRPr="09662B8F">
        <w:rPr>
          <w:rFonts w:ascii="Times New Roman" w:hAnsi="Times New Roman"/>
        </w:rPr>
        <w:t xml:space="preserve"> two requests for proposals</w:t>
      </w:r>
      <w:r w:rsidR="009A183F" w:rsidRPr="09662B8F">
        <w:rPr>
          <w:rFonts w:ascii="Times New Roman" w:hAnsi="Times New Roman"/>
        </w:rPr>
        <w:t xml:space="preserve"> (“RFP”)</w:t>
      </w:r>
      <w:r w:rsidR="00E22945" w:rsidRPr="09662B8F">
        <w:rPr>
          <w:rFonts w:ascii="Times New Roman" w:hAnsi="Times New Roman"/>
        </w:rPr>
        <w:t>.</w:t>
      </w:r>
      <w:r w:rsidR="00E71C59" w:rsidRPr="09662B8F">
        <w:rPr>
          <w:rFonts w:ascii="Times New Roman" w:hAnsi="Times New Roman"/>
        </w:rPr>
        <w:t xml:space="preserve"> </w:t>
      </w:r>
      <w:r w:rsidR="00F83F6C" w:rsidRPr="09662B8F">
        <w:rPr>
          <w:rFonts w:ascii="Times New Roman" w:hAnsi="Times New Roman"/>
        </w:rPr>
        <w:t>T</w:t>
      </w:r>
      <w:r w:rsidRPr="09662B8F">
        <w:rPr>
          <w:rFonts w:ascii="Times New Roman" w:hAnsi="Times New Roman"/>
        </w:rPr>
        <w:t>he Company</w:t>
      </w:r>
      <w:r w:rsidR="7EF69816" w:rsidRPr="63A43147">
        <w:rPr>
          <w:rFonts w:ascii="Times New Roman" w:hAnsi="Times New Roman"/>
        </w:rPr>
        <w:t xml:space="preserve"> subsequently</w:t>
      </w:r>
      <w:r w:rsidRPr="09662B8F">
        <w:rPr>
          <w:rFonts w:ascii="Times New Roman" w:hAnsi="Times New Roman"/>
        </w:rPr>
        <w:t xml:space="preserve"> issued the </w:t>
      </w:r>
      <w:r w:rsidR="00C710A5" w:rsidRPr="09662B8F">
        <w:rPr>
          <w:rFonts w:ascii="Times New Roman" w:hAnsi="Times New Roman"/>
        </w:rPr>
        <w:t xml:space="preserve">CARES </w:t>
      </w:r>
      <w:r w:rsidR="00DD514D" w:rsidRPr="09662B8F">
        <w:rPr>
          <w:rFonts w:ascii="Times New Roman" w:hAnsi="Times New Roman"/>
        </w:rPr>
        <w:t xml:space="preserve">2023 </w:t>
      </w:r>
      <w:r w:rsidR="009A183F" w:rsidRPr="09662B8F">
        <w:rPr>
          <w:rFonts w:ascii="Times New Roman" w:hAnsi="Times New Roman"/>
        </w:rPr>
        <w:t>US</w:t>
      </w:r>
      <w:r w:rsidR="00016B96" w:rsidRPr="09662B8F">
        <w:rPr>
          <w:rFonts w:ascii="Times New Roman" w:hAnsi="Times New Roman"/>
        </w:rPr>
        <w:t xml:space="preserve"> </w:t>
      </w:r>
      <w:r w:rsidR="00437FDE" w:rsidRPr="09662B8F">
        <w:rPr>
          <w:rFonts w:ascii="Times New Roman" w:hAnsi="Times New Roman"/>
        </w:rPr>
        <w:t>RFP</w:t>
      </w:r>
      <w:r w:rsidRPr="09662B8F">
        <w:rPr>
          <w:rFonts w:ascii="Times New Roman" w:hAnsi="Times New Roman"/>
        </w:rPr>
        <w:t xml:space="preserve"> seeking </w:t>
      </w:r>
      <w:r w:rsidR="3A96DEC1" w:rsidRPr="41BF0238">
        <w:rPr>
          <w:rFonts w:ascii="Times New Roman" w:hAnsi="Times New Roman"/>
        </w:rPr>
        <w:t>to procure</w:t>
      </w:r>
      <w:r w:rsidR="00BD3C50" w:rsidRPr="09662B8F">
        <w:rPr>
          <w:rFonts w:ascii="Times New Roman" w:hAnsi="Times New Roman"/>
        </w:rPr>
        <w:t xml:space="preserve"> </w:t>
      </w:r>
      <w:r w:rsidR="00E71C59" w:rsidRPr="09662B8F">
        <w:rPr>
          <w:rFonts w:ascii="Times New Roman" w:hAnsi="Times New Roman"/>
        </w:rPr>
        <w:t>2,875</w:t>
      </w:r>
      <w:r w:rsidR="00580390" w:rsidRPr="09662B8F">
        <w:rPr>
          <w:rFonts w:ascii="Times New Roman" w:hAnsi="Times New Roman"/>
        </w:rPr>
        <w:t xml:space="preserve"> MW </w:t>
      </w:r>
      <w:r w:rsidR="25AD43A4" w:rsidRPr="41BF0238">
        <w:rPr>
          <w:rFonts w:ascii="Times New Roman" w:hAnsi="Times New Roman"/>
        </w:rPr>
        <w:t>of</w:t>
      </w:r>
      <w:r w:rsidR="00580390" w:rsidRPr="41BF0238">
        <w:rPr>
          <w:rFonts w:ascii="Times New Roman" w:hAnsi="Times New Roman"/>
        </w:rPr>
        <w:t xml:space="preserve"> </w:t>
      </w:r>
      <w:r w:rsidR="00580390" w:rsidRPr="09662B8F">
        <w:rPr>
          <w:rFonts w:ascii="Times New Roman" w:hAnsi="Times New Roman"/>
        </w:rPr>
        <w:t>utility</w:t>
      </w:r>
      <w:r w:rsidR="0058549F" w:rsidRPr="09662B8F">
        <w:rPr>
          <w:rFonts w:ascii="Times New Roman" w:hAnsi="Times New Roman"/>
        </w:rPr>
        <w:t xml:space="preserve"> </w:t>
      </w:r>
      <w:r w:rsidR="00580390" w:rsidRPr="09662B8F">
        <w:rPr>
          <w:rFonts w:ascii="Times New Roman" w:hAnsi="Times New Roman"/>
        </w:rPr>
        <w:t xml:space="preserve">scale renewable </w:t>
      </w:r>
      <w:r w:rsidR="00580390" w:rsidRPr="41BF0238">
        <w:rPr>
          <w:rFonts w:ascii="Times New Roman" w:hAnsi="Times New Roman"/>
        </w:rPr>
        <w:t>generati</w:t>
      </w:r>
      <w:r w:rsidR="642C6397" w:rsidRPr="41BF0238">
        <w:rPr>
          <w:rFonts w:ascii="Times New Roman" w:hAnsi="Times New Roman"/>
        </w:rPr>
        <w:t xml:space="preserve">on </w:t>
      </w:r>
      <w:r w:rsidR="00580390" w:rsidRPr="09662B8F">
        <w:rPr>
          <w:rFonts w:ascii="Times New Roman" w:hAnsi="Times New Roman"/>
        </w:rPr>
        <w:t>through an RFP process overseen by the Commission Staff and an Independent Evaluator (“IE”)</w:t>
      </w:r>
      <w:r w:rsidR="00786E0A" w:rsidRPr="09662B8F">
        <w:rPr>
          <w:rFonts w:ascii="Times New Roman" w:hAnsi="Times New Roman"/>
        </w:rPr>
        <w:t xml:space="preserve"> pursuant to Commission Rule 515-3-4-.04(3) et seq</w:t>
      </w:r>
      <w:r w:rsidR="00580390" w:rsidRPr="09662B8F">
        <w:rPr>
          <w:rFonts w:ascii="Times New Roman" w:hAnsi="Times New Roman"/>
        </w:rPr>
        <w:t xml:space="preserve">. </w:t>
      </w:r>
    </w:p>
    <w:p w14:paraId="700E390F" w14:textId="2A4DB470" w:rsidR="00B10A3E" w:rsidRDefault="00F645CD" w:rsidP="001C47F4">
      <w:pPr>
        <w:pStyle w:val="BodyText"/>
        <w:rPr>
          <w:rFonts w:ascii="Times New Roman" w:hAnsi="Times New Roman"/>
        </w:rPr>
      </w:pPr>
      <w:r>
        <w:rPr>
          <w:rFonts w:ascii="Times New Roman" w:hAnsi="Times New Roman"/>
        </w:rPr>
        <w:t>Following completion of the CARES 2023 US RFP and p</w:t>
      </w:r>
      <w:r w:rsidR="00A51F5C" w:rsidRPr="76B2AC18">
        <w:rPr>
          <w:rFonts w:ascii="Times New Roman" w:hAnsi="Times New Roman"/>
        </w:rPr>
        <w:t>ursuant to O.C.G.A. § 46-3A-4</w:t>
      </w:r>
      <w:r w:rsidR="00A51F5C" w:rsidRPr="0098520F">
        <w:rPr>
          <w:rFonts w:ascii="Times New Roman" w:hAnsi="Times New Roman"/>
        </w:rPr>
        <w:t>,</w:t>
      </w:r>
      <w:r w:rsidR="00A51F5C" w:rsidRPr="76B2AC18">
        <w:rPr>
          <w:rFonts w:ascii="Times New Roman" w:hAnsi="Times New Roman"/>
        </w:rPr>
        <w:t xml:space="preserve"> Georgia Power </w:t>
      </w:r>
      <w:r w:rsidR="00880574" w:rsidRPr="76B2AC18">
        <w:rPr>
          <w:rFonts w:ascii="Times New Roman" w:hAnsi="Times New Roman"/>
        </w:rPr>
        <w:t xml:space="preserve">now </w:t>
      </w:r>
      <w:r w:rsidR="00A51F5C" w:rsidRPr="76B2AC18">
        <w:rPr>
          <w:rFonts w:ascii="Times New Roman" w:hAnsi="Times New Roman"/>
        </w:rPr>
        <w:t>seeks to certify</w:t>
      </w:r>
      <w:r w:rsidR="00E24090" w:rsidRPr="76B2AC18">
        <w:rPr>
          <w:rFonts w:ascii="Times New Roman" w:hAnsi="Times New Roman"/>
        </w:rPr>
        <w:t xml:space="preserve"> a</w:t>
      </w:r>
      <w:r w:rsidR="00A51F5C" w:rsidRPr="76B2AC18">
        <w:rPr>
          <w:rFonts w:ascii="Times New Roman" w:hAnsi="Times New Roman"/>
        </w:rPr>
        <w:t xml:space="preserve"> </w:t>
      </w:r>
      <w:r w:rsidR="00910B4F" w:rsidRPr="76B2AC18">
        <w:rPr>
          <w:rFonts w:ascii="Times New Roman" w:hAnsi="Times New Roman"/>
        </w:rPr>
        <w:t>1</w:t>
      </w:r>
      <w:r w:rsidR="00405E51" w:rsidRPr="76B2AC18">
        <w:rPr>
          <w:rFonts w:ascii="Times New Roman" w:hAnsi="Times New Roman"/>
        </w:rPr>
        <w:t>,</w:t>
      </w:r>
      <w:r w:rsidR="00121541">
        <w:rPr>
          <w:rFonts w:ascii="Times New Roman" w:hAnsi="Times New Roman"/>
        </w:rPr>
        <w:t>068</w:t>
      </w:r>
      <w:r w:rsidR="00121541" w:rsidRPr="76B2AC18">
        <w:rPr>
          <w:rFonts w:ascii="Times New Roman" w:hAnsi="Times New Roman"/>
        </w:rPr>
        <w:t xml:space="preserve"> </w:t>
      </w:r>
      <w:r w:rsidR="00A51F5C" w:rsidRPr="76B2AC18">
        <w:rPr>
          <w:rFonts w:ascii="Times New Roman" w:hAnsi="Times New Roman"/>
        </w:rPr>
        <w:t xml:space="preserve">MW portfolio of standalone solar and solar plus storage resources through the </w:t>
      </w:r>
      <w:r w:rsidR="00121541">
        <w:rPr>
          <w:rFonts w:ascii="Times New Roman" w:hAnsi="Times New Roman"/>
        </w:rPr>
        <w:t>five</w:t>
      </w:r>
      <w:r w:rsidR="00121541" w:rsidRPr="76B2AC18">
        <w:rPr>
          <w:rFonts w:ascii="Times New Roman" w:hAnsi="Times New Roman"/>
        </w:rPr>
        <w:t xml:space="preserve"> </w:t>
      </w:r>
      <w:r w:rsidR="00A51F5C" w:rsidRPr="76B2AC18">
        <w:rPr>
          <w:rFonts w:ascii="Times New Roman" w:hAnsi="Times New Roman"/>
        </w:rPr>
        <w:t>PPAs described below</w:t>
      </w:r>
      <w:r w:rsidR="00580390" w:rsidRPr="76B2AC18">
        <w:rPr>
          <w:rFonts w:ascii="Times New Roman" w:hAnsi="Times New Roman"/>
        </w:rPr>
        <w:t>.</w:t>
      </w:r>
      <w:r w:rsidR="00796688" w:rsidRPr="76B2AC18">
        <w:rPr>
          <w:rFonts w:ascii="Times New Roman" w:hAnsi="Times New Roman"/>
        </w:rPr>
        <w:t xml:space="preserve"> Certifying these PPAs will continue the expansion of </w:t>
      </w:r>
      <w:r w:rsidR="2E6E6278" w:rsidRPr="61132D79">
        <w:rPr>
          <w:rFonts w:ascii="Times New Roman" w:hAnsi="Times New Roman"/>
        </w:rPr>
        <w:t xml:space="preserve">economical </w:t>
      </w:r>
      <w:r w:rsidR="00796688" w:rsidRPr="76B2AC18">
        <w:rPr>
          <w:rFonts w:ascii="Times New Roman" w:hAnsi="Times New Roman"/>
        </w:rPr>
        <w:t>renewable resources</w:t>
      </w:r>
      <w:r w:rsidR="009F1909">
        <w:rPr>
          <w:rFonts w:ascii="Times New Roman" w:hAnsi="Times New Roman"/>
        </w:rPr>
        <w:t>,</w:t>
      </w:r>
      <w:r w:rsidR="00796688" w:rsidRPr="76B2AC18">
        <w:rPr>
          <w:rFonts w:ascii="Times New Roman" w:hAnsi="Times New Roman"/>
        </w:rPr>
        <w:t xml:space="preserve"> </w:t>
      </w:r>
      <w:r w:rsidR="005535E9">
        <w:rPr>
          <w:rFonts w:ascii="Times New Roman" w:hAnsi="Times New Roman"/>
        </w:rPr>
        <w:t>provid</w:t>
      </w:r>
      <w:r w:rsidR="00221C8E">
        <w:rPr>
          <w:rFonts w:ascii="Times New Roman" w:hAnsi="Times New Roman"/>
        </w:rPr>
        <w:t>ing</w:t>
      </w:r>
      <w:r w:rsidR="00796688" w:rsidRPr="76B2AC18">
        <w:rPr>
          <w:rFonts w:ascii="Times New Roman" w:hAnsi="Times New Roman"/>
        </w:rPr>
        <w:t xml:space="preserve"> Georgia Power’s customers</w:t>
      </w:r>
      <w:r w:rsidR="00CC174F">
        <w:rPr>
          <w:rFonts w:ascii="Times New Roman" w:hAnsi="Times New Roman"/>
        </w:rPr>
        <w:t xml:space="preserve"> </w:t>
      </w:r>
      <w:r w:rsidR="009B5E3D">
        <w:rPr>
          <w:rFonts w:ascii="Times New Roman" w:hAnsi="Times New Roman"/>
        </w:rPr>
        <w:t xml:space="preserve">benefit </w:t>
      </w:r>
      <w:r w:rsidR="00644A43">
        <w:rPr>
          <w:rFonts w:ascii="Times New Roman" w:hAnsi="Times New Roman"/>
        </w:rPr>
        <w:t>from access to clean, sustainable, and a</w:t>
      </w:r>
      <w:r w:rsidR="00A2086E">
        <w:rPr>
          <w:rFonts w:ascii="Times New Roman" w:hAnsi="Times New Roman"/>
        </w:rPr>
        <w:t>ffor</w:t>
      </w:r>
      <w:r w:rsidR="004D7078">
        <w:rPr>
          <w:rFonts w:ascii="Times New Roman" w:hAnsi="Times New Roman"/>
        </w:rPr>
        <w:t xml:space="preserve">dable </w:t>
      </w:r>
      <w:r w:rsidR="002A5EF9">
        <w:rPr>
          <w:rFonts w:ascii="Times New Roman" w:hAnsi="Times New Roman"/>
        </w:rPr>
        <w:t xml:space="preserve">power </w:t>
      </w:r>
      <w:r w:rsidR="0069504B">
        <w:rPr>
          <w:rFonts w:ascii="Times New Roman" w:hAnsi="Times New Roman"/>
        </w:rPr>
        <w:t>options</w:t>
      </w:r>
      <w:r w:rsidR="00796688" w:rsidRPr="76B2AC18">
        <w:rPr>
          <w:rFonts w:ascii="Times New Roman" w:hAnsi="Times New Roman"/>
        </w:rPr>
        <w:t>.</w:t>
      </w:r>
      <w:r w:rsidR="00390753">
        <w:rPr>
          <w:rFonts w:ascii="Times New Roman" w:hAnsi="Times New Roman"/>
        </w:rPr>
        <w:t xml:space="preserve"> As described in more detail below, the unfilled MW from the CARES 2023 US RFP will roll forward to the CARES 2025 US RFP.</w:t>
      </w:r>
      <w:r w:rsidR="00796688" w:rsidRPr="76B2AC18">
        <w:rPr>
          <w:rFonts w:ascii="Times New Roman" w:hAnsi="Times New Roman"/>
        </w:rPr>
        <w:t xml:space="preserve"> </w:t>
      </w:r>
    </w:p>
    <w:p w14:paraId="6CAFF6AC" w14:textId="51A3641D" w:rsidR="00B10A3E" w:rsidRPr="00A70FEE" w:rsidRDefault="001531CD" w:rsidP="00796688">
      <w:pPr>
        <w:pStyle w:val="Heading2"/>
        <w:keepNext/>
        <w:tabs>
          <w:tab w:val="clear" w:pos="7362"/>
          <w:tab w:val="num" w:pos="882"/>
        </w:tabs>
        <w:spacing w:after="120" w:line="360" w:lineRule="auto"/>
        <w:ind w:left="0"/>
        <w:rPr>
          <w:b w:val="0"/>
        </w:rPr>
      </w:pPr>
      <w:bookmarkStart w:id="8" w:name="_Toc191504499"/>
      <w:bookmarkStart w:id="9" w:name="_Hlk19888286"/>
      <w:r>
        <w:t xml:space="preserve">CARES </w:t>
      </w:r>
      <w:r w:rsidR="006C1576">
        <w:t xml:space="preserve">2023 </w:t>
      </w:r>
      <w:r w:rsidR="00016B96">
        <w:t>Utility Scale Renewable PPAs</w:t>
      </w:r>
      <w:bookmarkEnd w:id="8"/>
      <w:r w:rsidR="006C1576">
        <w:t xml:space="preserve"> </w:t>
      </w:r>
    </w:p>
    <w:p w14:paraId="3B276492" w14:textId="5FCED5DC" w:rsidR="000B7880" w:rsidRDefault="00580390" w:rsidP="001C47F4">
      <w:pPr>
        <w:pStyle w:val="BodyText"/>
        <w:keepNext/>
        <w:rPr>
          <w:rFonts w:ascii="Times New Roman" w:hAnsi="Times New Roman"/>
        </w:rPr>
      </w:pPr>
      <w:r w:rsidRPr="2EE8185C">
        <w:rPr>
          <w:rFonts w:ascii="Times New Roman" w:hAnsi="Times New Roman"/>
        </w:rPr>
        <w:t xml:space="preserve">Pursuant to the </w:t>
      </w:r>
      <w:r w:rsidR="009A183F" w:rsidRPr="2EE8185C">
        <w:rPr>
          <w:rFonts w:ascii="Times New Roman" w:hAnsi="Times New Roman"/>
        </w:rPr>
        <w:t>2022 IRP Final Order</w:t>
      </w:r>
      <w:r w:rsidRPr="2EE8185C">
        <w:rPr>
          <w:rFonts w:ascii="Times New Roman" w:hAnsi="Times New Roman"/>
        </w:rPr>
        <w:t xml:space="preserve">, </w:t>
      </w:r>
      <w:r w:rsidR="00F56839" w:rsidRPr="2EE8185C">
        <w:rPr>
          <w:rFonts w:ascii="Times New Roman" w:hAnsi="Times New Roman"/>
        </w:rPr>
        <w:t xml:space="preserve">on </w:t>
      </w:r>
      <w:r w:rsidR="00FF4479" w:rsidRPr="2EE8185C">
        <w:rPr>
          <w:rFonts w:ascii="Times New Roman" w:hAnsi="Times New Roman"/>
        </w:rPr>
        <w:t xml:space="preserve">December </w:t>
      </w:r>
      <w:r w:rsidR="00546E30" w:rsidRPr="2EE8185C">
        <w:rPr>
          <w:rFonts w:ascii="Times New Roman" w:hAnsi="Times New Roman"/>
        </w:rPr>
        <w:t>22</w:t>
      </w:r>
      <w:r w:rsidR="00F56839" w:rsidRPr="2EE8185C">
        <w:rPr>
          <w:rFonts w:ascii="Times New Roman" w:hAnsi="Times New Roman"/>
        </w:rPr>
        <w:t>, 20</w:t>
      </w:r>
      <w:r w:rsidR="00825FE0" w:rsidRPr="2EE8185C">
        <w:rPr>
          <w:rFonts w:ascii="Times New Roman" w:hAnsi="Times New Roman"/>
        </w:rPr>
        <w:t>2</w:t>
      </w:r>
      <w:r w:rsidR="00FF4479" w:rsidRPr="2EE8185C">
        <w:rPr>
          <w:rFonts w:ascii="Times New Roman" w:hAnsi="Times New Roman"/>
        </w:rPr>
        <w:t>3</w:t>
      </w:r>
      <w:r w:rsidR="00F56839" w:rsidRPr="2EE8185C">
        <w:rPr>
          <w:rFonts w:ascii="Times New Roman" w:hAnsi="Times New Roman"/>
        </w:rPr>
        <w:t xml:space="preserve">, </w:t>
      </w:r>
      <w:r w:rsidR="00016B96" w:rsidRPr="2EE8185C">
        <w:rPr>
          <w:rFonts w:ascii="Times New Roman" w:hAnsi="Times New Roman"/>
        </w:rPr>
        <w:t xml:space="preserve">Georgia Power issued </w:t>
      </w:r>
      <w:r w:rsidR="00C7318C" w:rsidRPr="2EE8185C">
        <w:rPr>
          <w:rFonts w:ascii="Times New Roman" w:hAnsi="Times New Roman"/>
        </w:rPr>
        <w:t xml:space="preserve">the </w:t>
      </w:r>
      <w:r w:rsidR="009A183F" w:rsidRPr="2EE8185C">
        <w:rPr>
          <w:rFonts w:ascii="Times New Roman" w:hAnsi="Times New Roman"/>
        </w:rPr>
        <w:t>CARES 2023 US</w:t>
      </w:r>
      <w:r w:rsidR="00D5539F" w:rsidRPr="2EE8185C">
        <w:rPr>
          <w:rFonts w:ascii="Times New Roman" w:hAnsi="Times New Roman"/>
        </w:rPr>
        <w:t xml:space="preserve"> </w:t>
      </w:r>
      <w:r w:rsidRPr="2EE8185C">
        <w:rPr>
          <w:rFonts w:ascii="Times New Roman" w:hAnsi="Times New Roman"/>
        </w:rPr>
        <w:t>RFP</w:t>
      </w:r>
      <w:r w:rsidR="00C7318C" w:rsidRPr="2EE8185C">
        <w:rPr>
          <w:rFonts w:ascii="Times New Roman" w:hAnsi="Times New Roman"/>
        </w:rPr>
        <w:t xml:space="preserve"> </w:t>
      </w:r>
      <w:r w:rsidR="00F56839" w:rsidRPr="2EE8185C">
        <w:rPr>
          <w:rFonts w:ascii="Times New Roman" w:hAnsi="Times New Roman"/>
        </w:rPr>
        <w:t>seeking</w:t>
      </w:r>
      <w:r w:rsidR="00C37BCA" w:rsidRPr="2EE8185C">
        <w:rPr>
          <w:rFonts w:ascii="Times New Roman" w:hAnsi="Times New Roman"/>
        </w:rPr>
        <w:t xml:space="preserve"> </w:t>
      </w:r>
      <w:r w:rsidR="44207B79" w:rsidRPr="2EE8185C">
        <w:rPr>
          <w:rFonts w:ascii="Times New Roman" w:hAnsi="Times New Roman"/>
        </w:rPr>
        <w:t xml:space="preserve">to procure </w:t>
      </w:r>
      <w:r w:rsidR="00C37BCA" w:rsidRPr="2EE8185C">
        <w:rPr>
          <w:rFonts w:ascii="Times New Roman" w:hAnsi="Times New Roman"/>
        </w:rPr>
        <w:t>energy f</w:t>
      </w:r>
      <w:r w:rsidR="005D7AB2" w:rsidRPr="2EE8185C">
        <w:rPr>
          <w:rFonts w:ascii="Times New Roman" w:hAnsi="Times New Roman"/>
        </w:rPr>
        <w:t>rom</w:t>
      </w:r>
      <w:r w:rsidR="00F56839" w:rsidRPr="2EE8185C">
        <w:rPr>
          <w:rFonts w:ascii="Times New Roman" w:hAnsi="Times New Roman"/>
        </w:rPr>
        <w:t xml:space="preserve"> </w:t>
      </w:r>
      <w:r w:rsidR="000B7880" w:rsidRPr="2EE8185C">
        <w:rPr>
          <w:rFonts w:ascii="Times New Roman" w:hAnsi="Times New Roman"/>
        </w:rPr>
        <w:t>approximately 2,875 MW</w:t>
      </w:r>
      <w:r w:rsidR="00A24314" w:rsidRPr="2EE8185C">
        <w:rPr>
          <w:rFonts w:ascii="Times New Roman" w:hAnsi="Times New Roman"/>
        </w:rPr>
        <w:t xml:space="preserve"> of renewable </w:t>
      </w:r>
      <w:r w:rsidR="00A24314" w:rsidRPr="2EE8185C">
        <w:rPr>
          <w:rFonts w:ascii="Times New Roman" w:hAnsi="Times New Roman"/>
        </w:rPr>
        <w:lastRenderedPageBreak/>
        <w:t>resources</w:t>
      </w:r>
      <w:r w:rsidR="3477236F" w:rsidRPr="2EE8185C">
        <w:rPr>
          <w:rFonts w:ascii="Times New Roman" w:hAnsi="Times New Roman"/>
        </w:rPr>
        <w:t>,</w:t>
      </w:r>
      <w:r w:rsidR="000B7880" w:rsidRPr="2EE8185C">
        <w:rPr>
          <w:rFonts w:ascii="Times New Roman" w:hAnsi="Times New Roman"/>
        </w:rPr>
        <w:t xml:space="preserve"> with anticipated in-service dates of 2026, 2027, and 2028, including up to 650 MW of </w:t>
      </w:r>
      <w:r w:rsidR="009A183F" w:rsidRPr="2EE8185C">
        <w:rPr>
          <w:rFonts w:ascii="Times New Roman" w:hAnsi="Times New Roman"/>
        </w:rPr>
        <w:t xml:space="preserve">renewable energy </w:t>
      </w:r>
      <w:r w:rsidR="000B7880" w:rsidRPr="2EE8185C">
        <w:rPr>
          <w:rFonts w:ascii="Times New Roman" w:hAnsi="Times New Roman"/>
        </w:rPr>
        <w:t xml:space="preserve">from </w:t>
      </w:r>
      <w:proofErr w:type="spellStart"/>
      <w:r w:rsidR="000B7880" w:rsidRPr="2EE8185C">
        <w:rPr>
          <w:rFonts w:ascii="Times New Roman" w:hAnsi="Times New Roman"/>
        </w:rPr>
        <w:t>CFE</w:t>
      </w:r>
      <w:proofErr w:type="spellEnd"/>
      <w:r w:rsidR="000B7880" w:rsidRPr="2EE8185C">
        <w:rPr>
          <w:rFonts w:ascii="Times New Roman" w:hAnsi="Times New Roman"/>
        </w:rPr>
        <w:t xml:space="preserve">-ATC </w:t>
      </w:r>
      <w:r w:rsidR="0099450D" w:rsidRPr="2EE8185C">
        <w:rPr>
          <w:rFonts w:ascii="Times New Roman" w:hAnsi="Times New Roman"/>
        </w:rPr>
        <w:t>r</w:t>
      </w:r>
      <w:r w:rsidR="000B7880" w:rsidRPr="2EE8185C">
        <w:rPr>
          <w:rFonts w:ascii="Times New Roman" w:hAnsi="Times New Roman"/>
        </w:rPr>
        <w:t>esources.</w:t>
      </w:r>
      <w:r w:rsidR="00EA410A" w:rsidRPr="2EE8185C">
        <w:rPr>
          <w:rFonts w:ascii="Times New Roman" w:hAnsi="Times New Roman"/>
        </w:rPr>
        <w:t xml:space="preserve"> </w:t>
      </w:r>
      <w:r w:rsidR="19197049" w:rsidRPr="29442B1C">
        <w:rPr>
          <w:rFonts w:ascii="Times New Roman" w:hAnsi="Times New Roman"/>
        </w:rPr>
        <w:t>Upon conclusion of the 2023 CARES US RFP, Georgia Power seek</w:t>
      </w:r>
      <w:r w:rsidR="00A759A4">
        <w:rPr>
          <w:rFonts w:ascii="Times New Roman" w:hAnsi="Times New Roman"/>
        </w:rPr>
        <w:t>s</w:t>
      </w:r>
      <w:r w:rsidR="19197049" w:rsidRPr="29442B1C">
        <w:rPr>
          <w:rFonts w:ascii="Times New Roman" w:hAnsi="Times New Roman"/>
        </w:rPr>
        <w:t xml:space="preserve"> to certify </w:t>
      </w:r>
      <w:r w:rsidR="2F4DE3F1" w:rsidRPr="386F5F1D">
        <w:rPr>
          <w:rFonts w:ascii="Times New Roman" w:hAnsi="Times New Roman"/>
        </w:rPr>
        <w:t xml:space="preserve">the </w:t>
      </w:r>
      <w:r w:rsidR="19197049" w:rsidRPr="29442B1C">
        <w:rPr>
          <w:rFonts w:ascii="Times New Roman" w:hAnsi="Times New Roman"/>
        </w:rPr>
        <w:t>1,</w:t>
      </w:r>
      <w:r w:rsidR="00303D53">
        <w:rPr>
          <w:rFonts w:ascii="Times New Roman" w:hAnsi="Times New Roman"/>
        </w:rPr>
        <w:t>068</w:t>
      </w:r>
      <w:r w:rsidR="00303D53" w:rsidRPr="29442B1C">
        <w:rPr>
          <w:rFonts w:ascii="Times New Roman" w:hAnsi="Times New Roman"/>
        </w:rPr>
        <w:t xml:space="preserve"> </w:t>
      </w:r>
      <w:r w:rsidR="19197049" w:rsidRPr="29442B1C">
        <w:rPr>
          <w:rFonts w:ascii="Times New Roman" w:hAnsi="Times New Roman"/>
        </w:rPr>
        <w:t>MW of economical renewable resources</w:t>
      </w:r>
      <w:r w:rsidR="00390753">
        <w:rPr>
          <w:rFonts w:ascii="Times New Roman" w:hAnsi="Times New Roman"/>
        </w:rPr>
        <w:t xml:space="preserve"> as</w:t>
      </w:r>
      <w:r w:rsidR="19197049" w:rsidRPr="29442B1C">
        <w:rPr>
          <w:rFonts w:ascii="Times New Roman" w:hAnsi="Times New Roman"/>
        </w:rPr>
        <w:t xml:space="preserve"> </w:t>
      </w:r>
      <w:r w:rsidR="1484A096" w:rsidRPr="386F5F1D">
        <w:rPr>
          <w:rFonts w:ascii="Times New Roman" w:hAnsi="Times New Roman"/>
        </w:rPr>
        <w:t>set forth</w:t>
      </w:r>
      <w:r w:rsidR="00390753">
        <w:rPr>
          <w:rFonts w:ascii="Times New Roman" w:hAnsi="Times New Roman"/>
        </w:rPr>
        <w:t xml:space="preserve"> </w:t>
      </w:r>
      <w:r w:rsidR="1484A096" w:rsidRPr="386F5F1D">
        <w:rPr>
          <w:rFonts w:ascii="Times New Roman" w:hAnsi="Times New Roman"/>
        </w:rPr>
        <w:t xml:space="preserve">below. </w:t>
      </w:r>
      <w:r w:rsidR="0099450D" w:rsidRPr="2EE8185C">
        <w:rPr>
          <w:rFonts w:ascii="Times New Roman" w:hAnsi="Times New Roman"/>
        </w:rPr>
        <w:t>Georgia Power anticipates issuing the CARES</w:t>
      </w:r>
      <w:r w:rsidR="000B7880" w:rsidRPr="2EE8185C">
        <w:rPr>
          <w:rFonts w:ascii="Times New Roman" w:hAnsi="Times New Roman"/>
        </w:rPr>
        <w:t xml:space="preserve"> 2025</w:t>
      </w:r>
      <w:r w:rsidR="0099450D" w:rsidRPr="2EE8185C">
        <w:rPr>
          <w:rFonts w:ascii="Times New Roman" w:hAnsi="Times New Roman"/>
        </w:rPr>
        <w:t xml:space="preserve"> Utility Scale Renewable</w:t>
      </w:r>
      <w:r w:rsidR="000B7880" w:rsidRPr="2EE8185C">
        <w:rPr>
          <w:rFonts w:ascii="Times New Roman" w:hAnsi="Times New Roman"/>
        </w:rPr>
        <w:t xml:space="preserve"> RFP in 2025 to procure </w:t>
      </w:r>
      <w:r w:rsidR="6E4B2EF5" w:rsidRPr="29442B1C">
        <w:rPr>
          <w:rFonts w:ascii="Times New Roman" w:hAnsi="Times New Roman"/>
        </w:rPr>
        <w:t xml:space="preserve">an </w:t>
      </w:r>
      <w:r w:rsidR="6E4B2EF5" w:rsidRPr="00053754">
        <w:rPr>
          <w:rFonts w:ascii="Times New Roman" w:hAnsi="Times New Roman"/>
        </w:rPr>
        <w:t>additional</w:t>
      </w:r>
      <w:r w:rsidR="6E4B2EF5" w:rsidRPr="29442B1C">
        <w:rPr>
          <w:rFonts w:ascii="Times New Roman" w:hAnsi="Times New Roman"/>
        </w:rPr>
        <w:t xml:space="preserve"> </w:t>
      </w:r>
      <w:r w:rsidR="004B7ED5">
        <w:rPr>
          <w:rFonts w:ascii="Times New Roman" w:hAnsi="Times New Roman"/>
        </w:rPr>
        <w:t>2,282 MW</w:t>
      </w:r>
      <w:r w:rsidR="6E4B2EF5" w:rsidRPr="29442B1C">
        <w:rPr>
          <w:rFonts w:ascii="Times New Roman" w:hAnsi="Times New Roman"/>
        </w:rPr>
        <w:t xml:space="preserve">, which represents </w:t>
      </w:r>
      <w:r w:rsidR="000B7880" w:rsidRPr="492CA1F3">
        <w:rPr>
          <w:rFonts w:ascii="Times New Roman" w:hAnsi="Times New Roman"/>
        </w:rPr>
        <w:t xml:space="preserve">the </w:t>
      </w:r>
      <w:r w:rsidR="4976081B" w:rsidRPr="492CA1F3">
        <w:rPr>
          <w:rFonts w:ascii="Times New Roman" w:hAnsi="Times New Roman"/>
        </w:rPr>
        <w:t>remaining</w:t>
      </w:r>
      <w:r w:rsidR="000B7880" w:rsidRPr="2EE8185C">
        <w:rPr>
          <w:rFonts w:ascii="Times New Roman" w:hAnsi="Times New Roman"/>
        </w:rPr>
        <w:t xml:space="preserve"> balance of the </w:t>
      </w:r>
      <w:r w:rsidR="515E1841" w:rsidRPr="492CA1F3">
        <w:rPr>
          <w:rFonts w:ascii="Times New Roman" w:hAnsi="Times New Roman"/>
        </w:rPr>
        <w:t>MW</w:t>
      </w:r>
      <w:r w:rsidR="515E1841" w:rsidRPr="1E424448">
        <w:rPr>
          <w:rFonts w:ascii="Times New Roman" w:hAnsi="Times New Roman"/>
        </w:rPr>
        <w:t xml:space="preserve"> </w:t>
      </w:r>
      <w:r w:rsidR="00036550" w:rsidRPr="2EE8185C">
        <w:rPr>
          <w:rFonts w:ascii="Times New Roman" w:hAnsi="Times New Roman"/>
        </w:rPr>
        <w:t>approved in the 2022 IRP Final Order</w:t>
      </w:r>
      <w:r w:rsidR="00F175A2" w:rsidRPr="2EE8185C">
        <w:rPr>
          <w:rFonts w:ascii="Times New Roman" w:hAnsi="Times New Roman"/>
        </w:rPr>
        <w:t xml:space="preserve"> </w:t>
      </w:r>
      <w:r w:rsidRPr="492CA1F3">
        <w:rPr>
          <w:rFonts w:ascii="Times New Roman" w:hAnsi="Times New Roman"/>
        </w:rPr>
        <w:t>and</w:t>
      </w:r>
      <w:r w:rsidR="00F175A2" w:rsidRPr="492CA1F3">
        <w:rPr>
          <w:rFonts w:ascii="Times New Roman" w:hAnsi="Times New Roman"/>
        </w:rPr>
        <w:t xml:space="preserve"> </w:t>
      </w:r>
      <w:r w:rsidR="2293575E" w:rsidRPr="492CA1F3">
        <w:rPr>
          <w:rFonts w:ascii="Times New Roman" w:hAnsi="Times New Roman"/>
        </w:rPr>
        <w:t>those</w:t>
      </w:r>
      <w:r w:rsidR="00F175A2" w:rsidRPr="2EE8185C">
        <w:rPr>
          <w:rFonts w:ascii="Times New Roman" w:hAnsi="Times New Roman"/>
        </w:rPr>
        <w:t xml:space="preserve"> rolled forward from </w:t>
      </w:r>
      <w:r w:rsidR="00F175A2" w:rsidRPr="492CA1F3">
        <w:rPr>
          <w:rFonts w:ascii="Times New Roman" w:hAnsi="Times New Roman"/>
        </w:rPr>
        <w:t>previous</w:t>
      </w:r>
      <w:r w:rsidR="4AE789D4" w:rsidRPr="492CA1F3">
        <w:rPr>
          <w:rFonts w:ascii="Times New Roman" w:hAnsi="Times New Roman"/>
        </w:rPr>
        <w:t>ly unfilled</w:t>
      </w:r>
      <w:r w:rsidR="00F175A2" w:rsidRPr="09662B8F">
        <w:rPr>
          <w:rFonts w:ascii="Times New Roman" w:hAnsi="Times New Roman"/>
        </w:rPr>
        <w:t xml:space="preserve"> utility scale renewable procurements</w:t>
      </w:r>
      <w:r w:rsidR="000B7880" w:rsidRPr="2EE8185C">
        <w:rPr>
          <w:rFonts w:ascii="Times New Roman" w:hAnsi="Times New Roman"/>
        </w:rPr>
        <w:t xml:space="preserve">. </w:t>
      </w:r>
    </w:p>
    <w:p w14:paraId="00A6D9DD" w14:textId="1AED002F" w:rsidR="00B10A3E" w:rsidRPr="007827CD" w:rsidRDefault="6C97A122" w:rsidP="009A183F">
      <w:pPr>
        <w:pStyle w:val="BodyText"/>
        <w:tabs>
          <w:tab w:val="left" w:pos="5490"/>
        </w:tabs>
        <w:rPr>
          <w:rFonts w:ascii="Times New Roman" w:hAnsi="Times New Roman"/>
        </w:rPr>
      </w:pPr>
      <w:r w:rsidRPr="4F643A29">
        <w:rPr>
          <w:rFonts w:ascii="Times New Roman" w:hAnsi="Times New Roman"/>
        </w:rPr>
        <w:t xml:space="preserve">Now, therefore, </w:t>
      </w:r>
      <w:r w:rsidR="00EA410A" w:rsidRPr="4F643A29">
        <w:rPr>
          <w:rFonts w:ascii="Times New Roman" w:hAnsi="Times New Roman"/>
        </w:rPr>
        <w:t>t</w:t>
      </w:r>
      <w:r w:rsidR="00580390" w:rsidRPr="4F643A29">
        <w:rPr>
          <w:rFonts w:ascii="Times New Roman" w:hAnsi="Times New Roman"/>
        </w:rPr>
        <w:t>he Company seeks to certify</w:t>
      </w:r>
      <w:r w:rsidR="56C6292E" w:rsidRPr="4F643A29">
        <w:rPr>
          <w:rFonts w:ascii="Times New Roman" w:hAnsi="Times New Roman"/>
        </w:rPr>
        <w:t xml:space="preserve"> the following renewable resources</w:t>
      </w:r>
      <w:r w:rsidR="716DAA31" w:rsidRPr="4F643A29">
        <w:rPr>
          <w:rFonts w:ascii="Times New Roman" w:hAnsi="Times New Roman"/>
        </w:rPr>
        <w:t xml:space="preserve"> as part of the CARES 2023 US RFP</w:t>
      </w:r>
      <w:r w:rsidR="00580390" w:rsidRPr="4F643A29">
        <w:rPr>
          <w:rFonts w:ascii="Times New Roman" w:hAnsi="Times New Roman"/>
        </w:rPr>
        <w:t xml:space="preserve">: </w:t>
      </w:r>
    </w:p>
    <w:bookmarkEnd w:id="9"/>
    <w:p w14:paraId="0283EB49" w14:textId="32E287BB" w:rsidR="00F12A09" w:rsidRPr="007827CD" w:rsidRDefault="00F12A09" w:rsidP="001C47F4">
      <w:pPr>
        <w:pStyle w:val="BodyText"/>
        <w:numPr>
          <w:ilvl w:val="0"/>
          <w:numId w:val="21"/>
        </w:numPr>
        <w:ind w:left="1080"/>
        <w:rPr>
          <w:rFonts w:ascii="Times New Roman" w:hAnsi="Times New Roman"/>
          <w:szCs w:val="24"/>
        </w:rPr>
      </w:pPr>
      <w:r w:rsidRPr="007827CD">
        <w:rPr>
          <w:rFonts w:ascii="Times New Roman" w:hAnsi="Times New Roman"/>
          <w:szCs w:val="24"/>
        </w:rPr>
        <w:t xml:space="preserve">A </w:t>
      </w:r>
      <w:r w:rsidR="00F97A75">
        <w:rPr>
          <w:rFonts w:ascii="Times New Roman" w:hAnsi="Times New Roman"/>
          <w:szCs w:val="24"/>
        </w:rPr>
        <w:t>twenty-five</w:t>
      </w:r>
      <w:r w:rsidRPr="007827CD">
        <w:rPr>
          <w:rFonts w:ascii="Times New Roman" w:hAnsi="Times New Roman"/>
          <w:szCs w:val="24"/>
        </w:rPr>
        <w:t xml:space="preserve"> (</w:t>
      </w:r>
      <w:r w:rsidR="00F97A75">
        <w:rPr>
          <w:rFonts w:ascii="Times New Roman" w:hAnsi="Times New Roman"/>
          <w:szCs w:val="24"/>
        </w:rPr>
        <w:t>25</w:t>
      </w:r>
      <w:r w:rsidRPr="007827CD">
        <w:rPr>
          <w:rFonts w:ascii="Times New Roman" w:hAnsi="Times New Roman"/>
          <w:szCs w:val="24"/>
        </w:rPr>
        <w:t xml:space="preserve">) year PPA with </w:t>
      </w:r>
      <w:r w:rsidR="00284579">
        <w:rPr>
          <w:rFonts w:ascii="Times New Roman" w:hAnsi="Times New Roman"/>
          <w:szCs w:val="24"/>
        </w:rPr>
        <w:t>GA Solar 5, LLC</w:t>
      </w:r>
      <w:r w:rsidR="00F97A75" w:rsidRPr="00102921">
        <w:rPr>
          <w:rFonts w:ascii="Times New Roman" w:hAnsi="Times New Roman"/>
          <w:szCs w:val="24"/>
        </w:rPr>
        <w:t xml:space="preserve"> </w:t>
      </w:r>
      <w:r w:rsidRPr="00102921">
        <w:rPr>
          <w:rFonts w:ascii="Times New Roman" w:hAnsi="Times New Roman"/>
          <w:szCs w:val="24"/>
        </w:rPr>
        <w:t>that will provide energy, Environmental Attributes, and Electrical Products from</w:t>
      </w:r>
      <w:r w:rsidRPr="007827CD">
        <w:rPr>
          <w:rFonts w:ascii="Times New Roman" w:hAnsi="Times New Roman"/>
          <w:szCs w:val="24"/>
        </w:rPr>
        <w:t xml:space="preserve"> the </w:t>
      </w:r>
      <w:r w:rsidR="00F97A75">
        <w:rPr>
          <w:rFonts w:ascii="Times New Roman" w:hAnsi="Times New Roman"/>
          <w:szCs w:val="24"/>
        </w:rPr>
        <w:t>260</w:t>
      </w:r>
      <w:r w:rsidRPr="007827CD">
        <w:rPr>
          <w:rFonts w:ascii="Times New Roman" w:hAnsi="Times New Roman"/>
          <w:szCs w:val="24"/>
        </w:rPr>
        <w:t xml:space="preserve"> MW </w:t>
      </w:r>
      <w:r w:rsidR="007172D0">
        <w:rPr>
          <w:rFonts w:ascii="Times New Roman" w:hAnsi="Times New Roman"/>
          <w:szCs w:val="24"/>
        </w:rPr>
        <w:t>Old Hickory</w:t>
      </w:r>
      <w:r w:rsidR="00F97A75" w:rsidRPr="00E64C6D">
        <w:rPr>
          <w:rFonts w:ascii="Times New Roman" w:hAnsi="Times New Roman"/>
          <w:szCs w:val="24"/>
        </w:rPr>
        <w:t xml:space="preserve"> facility</w:t>
      </w:r>
      <w:r w:rsidRPr="00E64C6D">
        <w:rPr>
          <w:rFonts w:ascii="Times New Roman" w:hAnsi="Times New Roman"/>
          <w:szCs w:val="24"/>
        </w:rPr>
        <w:t xml:space="preserve">. </w:t>
      </w:r>
      <w:r w:rsidR="003A5A91" w:rsidRPr="00E64C6D">
        <w:rPr>
          <w:rFonts w:ascii="Times New Roman" w:hAnsi="Times New Roman"/>
          <w:szCs w:val="24"/>
        </w:rPr>
        <w:t xml:space="preserve">The </w:t>
      </w:r>
      <w:r w:rsidR="00284579">
        <w:rPr>
          <w:rFonts w:ascii="Times New Roman" w:hAnsi="Times New Roman"/>
          <w:szCs w:val="24"/>
        </w:rPr>
        <w:t>Old Hickory</w:t>
      </w:r>
      <w:r w:rsidR="00AC4187" w:rsidRPr="00E64C6D">
        <w:rPr>
          <w:rFonts w:ascii="Times New Roman" w:hAnsi="Times New Roman"/>
          <w:szCs w:val="24"/>
        </w:rPr>
        <w:t xml:space="preserve"> </w:t>
      </w:r>
      <w:r w:rsidR="003A5A91" w:rsidRPr="00E64C6D">
        <w:rPr>
          <w:rFonts w:ascii="Times New Roman" w:hAnsi="Times New Roman"/>
          <w:szCs w:val="24"/>
        </w:rPr>
        <w:t xml:space="preserve">facility is located in </w:t>
      </w:r>
      <w:r w:rsidR="00AC4187" w:rsidRPr="00E64C6D">
        <w:rPr>
          <w:rFonts w:ascii="Times New Roman" w:hAnsi="Times New Roman"/>
          <w:szCs w:val="24"/>
        </w:rPr>
        <w:t>Mitchell County</w:t>
      </w:r>
      <w:r w:rsidR="003A5A91" w:rsidRPr="00E64C6D">
        <w:rPr>
          <w:rFonts w:ascii="Times New Roman" w:hAnsi="Times New Roman"/>
          <w:szCs w:val="24"/>
        </w:rPr>
        <w:t>, Georgia.</w:t>
      </w:r>
    </w:p>
    <w:p w14:paraId="0D332081" w14:textId="25A057BB" w:rsidR="00332A6C" w:rsidRPr="007827CD" w:rsidRDefault="00332A6C" w:rsidP="001C47F4">
      <w:pPr>
        <w:pStyle w:val="BodyText"/>
        <w:numPr>
          <w:ilvl w:val="0"/>
          <w:numId w:val="21"/>
        </w:numPr>
        <w:ind w:left="1080"/>
        <w:rPr>
          <w:rFonts w:ascii="Times New Roman" w:hAnsi="Times New Roman"/>
          <w:szCs w:val="24"/>
        </w:rPr>
      </w:pPr>
      <w:r w:rsidRPr="007827CD">
        <w:rPr>
          <w:rFonts w:ascii="Times New Roman" w:hAnsi="Times New Roman"/>
          <w:szCs w:val="24"/>
        </w:rPr>
        <w:t xml:space="preserve">A thirty (30) year PPA with </w:t>
      </w:r>
      <w:r w:rsidR="00284579" w:rsidRPr="00284579">
        <w:rPr>
          <w:rFonts w:ascii="Times New Roman" w:hAnsi="Times New Roman"/>
          <w:szCs w:val="24"/>
        </w:rPr>
        <w:t>Wilsonville Solar, LLC</w:t>
      </w:r>
      <w:r w:rsidR="00284579">
        <w:rPr>
          <w:rFonts w:ascii="Times New Roman" w:hAnsi="Times New Roman"/>
          <w:szCs w:val="24"/>
        </w:rPr>
        <w:t xml:space="preserve"> </w:t>
      </w:r>
      <w:r w:rsidRPr="007827CD">
        <w:rPr>
          <w:rFonts w:ascii="Times New Roman" w:hAnsi="Times New Roman"/>
          <w:szCs w:val="24"/>
        </w:rPr>
        <w:t>that w</w:t>
      </w:r>
      <w:r w:rsidRPr="00102921">
        <w:rPr>
          <w:rFonts w:ascii="Times New Roman" w:hAnsi="Times New Roman"/>
          <w:szCs w:val="24"/>
        </w:rPr>
        <w:t>ill provide energy</w:t>
      </w:r>
      <w:r w:rsidR="00EA410A">
        <w:rPr>
          <w:rFonts w:ascii="Times New Roman" w:hAnsi="Times New Roman"/>
          <w:szCs w:val="24"/>
        </w:rPr>
        <w:t xml:space="preserve">, </w:t>
      </w:r>
      <w:r w:rsidRPr="00102921">
        <w:rPr>
          <w:rFonts w:ascii="Times New Roman" w:hAnsi="Times New Roman"/>
          <w:szCs w:val="24"/>
        </w:rPr>
        <w:t>Environmental Attributes</w:t>
      </w:r>
      <w:r w:rsidR="00EA410A">
        <w:rPr>
          <w:rFonts w:ascii="Times New Roman" w:hAnsi="Times New Roman"/>
          <w:szCs w:val="24"/>
        </w:rPr>
        <w:t>,</w:t>
      </w:r>
      <w:r w:rsidRPr="00102921">
        <w:rPr>
          <w:rFonts w:ascii="Times New Roman" w:hAnsi="Times New Roman"/>
          <w:szCs w:val="24"/>
        </w:rPr>
        <w:t xml:space="preserve"> and Electrical Products from the 200 MW </w:t>
      </w:r>
      <w:r w:rsidR="008168D2" w:rsidRPr="00102921">
        <w:rPr>
          <w:rFonts w:ascii="Times New Roman" w:hAnsi="Times New Roman"/>
          <w:szCs w:val="24"/>
        </w:rPr>
        <w:t>Wilsonville</w:t>
      </w:r>
      <w:r w:rsidR="008168D2">
        <w:rPr>
          <w:rFonts w:ascii="Times New Roman" w:hAnsi="Times New Roman"/>
          <w:szCs w:val="24"/>
        </w:rPr>
        <w:t xml:space="preserve"> Solar</w:t>
      </w:r>
      <w:r w:rsidRPr="007827CD">
        <w:rPr>
          <w:rFonts w:ascii="Times New Roman" w:hAnsi="Times New Roman"/>
          <w:szCs w:val="24"/>
        </w:rPr>
        <w:t xml:space="preserve"> facility. The </w:t>
      </w:r>
      <w:r w:rsidR="008168D2">
        <w:rPr>
          <w:rFonts w:ascii="Times New Roman" w:hAnsi="Times New Roman"/>
          <w:szCs w:val="24"/>
        </w:rPr>
        <w:t xml:space="preserve">Wilsonville Solar </w:t>
      </w:r>
      <w:r w:rsidRPr="007827CD">
        <w:rPr>
          <w:rFonts w:ascii="Times New Roman" w:hAnsi="Times New Roman"/>
          <w:szCs w:val="24"/>
        </w:rPr>
        <w:t xml:space="preserve">facility is located in </w:t>
      </w:r>
      <w:r w:rsidR="008168D2" w:rsidRPr="008168D2">
        <w:rPr>
          <w:rFonts w:ascii="Times New Roman" w:hAnsi="Times New Roman"/>
          <w:szCs w:val="24"/>
        </w:rPr>
        <w:t>Coffee</w:t>
      </w:r>
      <w:r w:rsidR="008168D2">
        <w:rPr>
          <w:rFonts w:ascii="Times New Roman" w:hAnsi="Times New Roman"/>
          <w:szCs w:val="24"/>
        </w:rPr>
        <w:t xml:space="preserve"> </w:t>
      </w:r>
      <w:r w:rsidRPr="007827CD">
        <w:rPr>
          <w:rFonts w:ascii="Times New Roman" w:hAnsi="Times New Roman"/>
          <w:szCs w:val="24"/>
        </w:rPr>
        <w:t>County, Georgia.</w:t>
      </w:r>
    </w:p>
    <w:p w14:paraId="1C00A3FE" w14:textId="711BA8EF" w:rsidR="00B10A3E" w:rsidRPr="007827CD" w:rsidRDefault="00580390" w:rsidP="001C47F4">
      <w:pPr>
        <w:pStyle w:val="BodyText"/>
        <w:numPr>
          <w:ilvl w:val="0"/>
          <w:numId w:val="21"/>
        </w:numPr>
        <w:ind w:left="1080"/>
        <w:rPr>
          <w:rFonts w:ascii="Times New Roman" w:hAnsi="Times New Roman"/>
          <w:szCs w:val="24"/>
        </w:rPr>
      </w:pPr>
      <w:r w:rsidRPr="007827CD">
        <w:rPr>
          <w:rFonts w:ascii="Times New Roman" w:hAnsi="Times New Roman"/>
          <w:szCs w:val="24"/>
        </w:rPr>
        <w:t xml:space="preserve">A </w:t>
      </w:r>
      <w:r w:rsidR="00C8733F">
        <w:rPr>
          <w:rFonts w:ascii="Times New Roman" w:hAnsi="Times New Roman"/>
          <w:szCs w:val="24"/>
        </w:rPr>
        <w:t>twenty</w:t>
      </w:r>
      <w:r w:rsidRPr="007827CD">
        <w:rPr>
          <w:rFonts w:ascii="Times New Roman" w:hAnsi="Times New Roman"/>
          <w:szCs w:val="24"/>
        </w:rPr>
        <w:t xml:space="preserve"> (</w:t>
      </w:r>
      <w:r w:rsidR="00C8733F">
        <w:rPr>
          <w:rFonts w:ascii="Times New Roman" w:hAnsi="Times New Roman"/>
          <w:szCs w:val="24"/>
        </w:rPr>
        <w:t>20</w:t>
      </w:r>
      <w:r w:rsidRPr="007827CD">
        <w:rPr>
          <w:rFonts w:ascii="Times New Roman" w:hAnsi="Times New Roman"/>
          <w:szCs w:val="24"/>
        </w:rPr>
        <w:t xml:space="preserve">) year PPA with </w:t>
      </w:r>
      <w:r w:rsidR="00284579" w:rsidRPr="00284579">
        <w:rPr>
          <w:rFonts w:ascii="Times New Roman" w:hAnsi="Times New Roman"/>
          <w:szCs w:val="24"/>
        </w:rPr>
        <w:t>Beaver Creek Solar I, LLC</w:t>
      </w:r>
      <w:r w:rsidR="00284579">
        <w:rPr>
          <w:rFonts w:ascii="Times New Roman" w:hAnsi="Times New Roman"/>
          <w:szCs w:val="24"/>
        </w:rPr>
        <w:t xml:space="preserve"> </w:t>
      </w:r>
      <w:r w:rsidRPr="007827CD">
        <w:rPr>
          <w:rFonts w:ascii="Times New Roman" w:hAnsi="Times New Roman"/>
          <w:szCs w:val="24"/>
        </w:rPr>
        <w:t xml:space="preserve">that will </w:t>
      </w:r>
      <w:r w:rsidRPr="00102921">
        <w:rPr>
          <w:rFonts w:ascii="Times New Roman" w:hAnsi="Times New Roman"/>
          <w:szCs w:val="24"/>
        </w:rPr>
        <w:t>provide energy and capacity benefits and the related Environmental Attributes and Electrical Products</w:t>
      </w:r>
      <w:r w:rsidRPr="007827CD">
        <w:rPr>
          <w:rFonts w:ascii="Times New Roman" w:hAnsi="Times New Roman"/>
          <w:szCs w:val="24"/>
        </w:rPr>
        <w:t xml:space="preserve"> from the </w:t>
      </w:r>
      <w:r w:rsidR="00EA410A" w:rsidRPr="005330FC">
        <w:rPr>
          <w:rFonts w:ascii="Times New Roman" w:hAnsi="Times New Roman"/>
          <w:szCs w:val="24"/>
        </w:rPr>
        <w:t xml:space="preserve">274.50 </w:t>
      </w:r>
      <w:r w:rsidRPr="005330FC">
        <w:rPr>
          <w:rFonts w:ascii="Times New Roman" w:hAnsi="Times New Roman"/>
          <w:szCs w:val="24"/>
        </w:rPr>
        <w:t xml:space="preserve">MW </w:t>
      </w:r>
      <w:r w:rsidR="00C8733F" w:rsidRPr="005330FC">
        <w:rPr>
          <w:rFonts w:ascii="Times New Roman" w:hAnsi="Times New Roman"/>
          <w:szCs w:val="24"/>
        </w:rPr>
        <w:t>Beaver</w:t>
      </w:r>
      <w:r w:rsidR="00C8733F">
        <w:rPr>
          <w:rFonts w:ascii="Times New Roman" w:hAnsi="Times New Roman"/>
          <w:szCs w:val="24"/>
        </w:rPr>
        <w:t xml:space="preserve"> Creek Solar</w:t>
      </w:r>
      <w:r w:rsidR="00B50A39" w:rsidRPr="007827CD">
        <w:rPr>
          <w:rFonts w:ascii="Times New Roman" w:hAnsi="Times New Roman"/>
          <w:szCs w:val="24"/>
        </w:rPr>
        <w:t xml:space="preserve"> </w:t>
      </w:r>
      <w:r w:rsidRPr="007827CD">
        <w:rPr>
          <w:rFonts w:ascii="Times New Roman" w:hAnsi="Times New Roman"/>
          <w:szCs w:val="24"/>
        </w:rPr>
        <w:t>facility</w:t>
      </w:r>
      <w:r w:rsidR="00EA410A">
        <w:rPr>
          <w:rFonts w:ascii="Times New Roman" w:hAnsi="Times New Roman"/>
          <w:szCs w:val="24"/>
        </w:rPr>
        <w:t>, which includes a</w:t>
      </w:r>
      <w:r w:rsidRPr="007827CD">
        <w:rPr>
          <w:rFonts w:ascii="Times New Roman" w:hAnsi="Times New Roman"/>
          <w:szCs w:val="24"/>
        </w:rPr>
        <w:t xml:space="preserve"> </w:t>
      </w:r>
      <w:r w:rsidR="00EA410A">
        <w:rPr>
          <w:rFonts w:ascii="Times New Roman" w:hAnsi="Times New Roman"/>
          <w:szCs w:val="24"/>
        </w:rPr>
        <w:t xml:space="preserve">91.5 MW </w:t>
      </w:r>
      <w:r w:rsidR="0073445F" w:rsidRPr="001C47F4">
        <w:rPr>
          <w:rFonts w:ascii="Times New Roman" w:hAnsi="Times New Roman"/>
          <w:szCs w:val="24"/>
        </w:rPr>
        <w:t>Battery</w:t>
      </w:r>
      <w:r w:rsidR="00FC68C0" w:rsidRPr="001C47F4">
        <w:rPr>
          <w:rFonts w:ascii="Times New Roman" w:hAnsi="Times New Roman"/>
          <w:szCs w:val="24"/>
        </w:rPr>
        <w:t xml:space="preserve"> Storage Device</w:t>
      </w:r>
      <w:r w:rsidRPr="007827CD">
        <w:rPr>
          <w:rFonts w:ascii="Times New Roman" w:hAnsi="Times New Roman"/>
          <w:szCs w:val="24"/>
        </w:rPr>
        <w:t xml:space="preserve">. The </w:t>
      </w:r>
      <w:r w:rsidR="00C8733F">
        <w:rPr>
          <w:rFonts w:ascii="Times New Roman" w:hAnsi="Times New Roman"/>
          <w:szCs w:val="24"/>
        </w:rPr>
        <w:t xml:space="preserve">Beaver Creek Solar </w:t>
      </w:r>
      <w:r w:rsidRPr="007827CD">
        <w:rPr>
          <w:rFonts w:ascii="Times New Roman" w:hAnsi="Times New Roman"/>
          <w:szCs w:val="24"/>
        </w:rPr>
        <w:t xml:space="preserve">facility is located </w:t>
      </w:r>
      <w:r w:rsidR="00A457ED" w:rsidRPr="007827CD">
        <w:rPr>
          <w:rFonts w:ascii="Times New Roman" w:hAnsi="Times New Roman"/>
          <w:szCs w:val="24"/>
        </w:rPr>
        <w:t xml:space="preserve">in </w:t>
      </w:r>
      <w:r w:rsidR="00C8733F" w:rsidRPr="00C8733F">
        <w:rPr>
          <w:rFonts w:ascii="Times New Roman" w:hAnsi="Times New Roman"/>
          <w:szCs w:val="24"/>
        </w:rPr>
        <w:t>Wilkinson</w:t>
      </w:r>
      <w:r w:rsidR="00C8733F">
        <w:rPr>
          <w:rFonts w:ascii="Times New Roman" w:hAnsi="Times New Roman"/>
          <w:szCs w:val="24"/>
        </w:rPr>
        <w:t xml:space="preserve"> </w:t>
      </w:r>
      <w:r w:rsidR="00A457ED" w:rsidRPr="007827CD">
        <w:rPr>
          <w:rFonts w:ascii="Times New Roman" w:hAnsi="Times New Roman"/>
          <w:szCs w:val="24"/>
        </w:rPr>
        <w:t>County</w:t>
      </w:r>
      <w:r w:rsidRPr="007827CD">
        <w:rPr>
          <w:rFonts w:ascii="Times New Roman" w:hAnsi="Times New Roman"/>
          <w:szCs w:val="24"/>
        </w:rPr>
        <w:t>, Georgia.</w:t>
      </w:r>
    </w:p>
    <w:p w14:paraId="597E4372" w14:textId="02F824C8" w:rsidR="005775EE" w:rsidRDefault="003B375E" w:rsidP="001C47F4">
      <w:pPr>
        <w:pStyle w:val="BodyText"/>
        <w:numPr>
          <w:ilvl w:val="0"/>
          <w:numId w:val="21"/>
        </w:numPr>
        <w:ind w:left="1080"/>
        <w:rPr>
          <w:rFonts w:ascii="Times New Roman" w:hAnsi="Times New Roman"/>
          <w:szCs w:val="24"/>
        </w:rPr>
      </w:pPr>
      <w:r w:rsidRPr="007827CD">
        <w:rPr>
          <w:rFonts w:ascii="Times New Roman" w:hAnsi="Times New Roman"/>
          <w:szCs w:val="24"/>
        </w:rPr>
        <w:t xml:space="preserve">A </w:t>
      </w:r>
      <w:r w:rsidR="0018245D">
        <w:rPr>
          <w:rFonts w:ascii="Times New Roman" w:hAnsi="Times New Roman"/>
          <w:szCs w:val="24"/>
        </w:rPr>
        <w:t>twenty</w:t>
      </w:r>
      <w:r w:rsidRPr="007827CD">
        <w:rPr>
          <w:rFonts w:ascii="Times New Roman" w:hAnsi="Times New Roman"/>
          <w:szCs w:val="24"/>
        </w:rPr>
        <w:t xml:space="preserve"> (</w:t>
      </w:r>
      <w:r w:rsidR="0018245D">
        <w:rPr>
          <w:rFonts w:ascii="Times New Roman" w:hAnsi="Times New Roman"/>
          <w:szCs w:val="24"/>
        </w:rPr>
        <w:t>2</w:t>
      </w:r>
      <w:r w:rsidRPr="007827CD">
        <w:rPr>
          <w:rFonts w:ascii="Times New Roman" w:hAnsi="Times New Roman"/>
          <w:szCs w:val="24"/>
        </w:rPr>
        <w:t xml:space="preserve">0) year PPA with </w:t>
      </w:r>
      <w:r w:rsidR="00284579" w:rsidRPr="00284579">
        <w:rPr>
          <w:rFonts w:ascii="Times New Roman" w:hAnsi="Times New Roman"/>
          <w:szCs w:val="24"/>
        </w:rPr>
        <w:t>Stellar Dry Creek Solar, LLC</w:t>
      </w:r>
      <w:r w:rsidR="00284579">
        <w:rPr>
          <w:rFonts w:ascii="Times New Roman" w:hAnsi="Times New Roman"/>
          <w:szCs w:val="24"/>
        </w:rPr>
        <w:t xml:space="preserve"> </w:t>
      </w:r>
      <w:r w:rsidRPr="007827CD">
        <w:rPr>
          <w:rFonts w:ascii="Times New Roman" w:hAnsi="Times New Roman"/>
          <w:szCs w:val="24"/>
        </w:rPr>
        <w:t xml:space="preserve">that will </w:t>
      </w:r>
      <w:r w:rsidRPr="00102921">
        <w:rPr>
          <w:rFonts w:ascii="Times New Roman" w:hAnsi="Times New Roman"/>
          <w:szCs w:val="24"/>
        </w:rPr>
        <w:t xml:space="preserve">provide </w:t>
      </w:r>
      <w:r w:rsidR="00EA410A" w:rsidRPr="00102921">
        <w:rPr>
          <w:rFonts w:ascii="Times New Roman" w:hAnsi="Times New Roman"/>
          <w:szCs w:val="24"/>
        </w:rPr>
        <w:t>energy, Environmental Attributes, and Electrical Products</w:t>
      </w:r>
      <w:r w:rsidRPr="007827CD">
        <w:rPr>
          <w:rFonts w:ascii="Times New Roman" w:hAnsi="Times New Roman"/>
          <w:szCs w:val="24"/>
        </w:rPr>
        <w:t xml:space="preserve"> from the </w:t>
      </w:r>
      <w:r w:rsidR="003A6540">
        <w:rPr>
          <w:rFonts w:ascii="Times New Roman" w:hAnsi="Times New Roman"/>
          <w:szCs w:val="24"/>
        </w:rPr>
        <w:t>200</w:t>
      </w:r>
      <w:r w:rsidRPr="007827CD">
        <w:rPr>
          <w:rFonts w:ascii="Times New Roman" w:hAnsi="Times New Roman"/>
          <w:szCs w:val="24"/>
        </w:rPr>
        <w:t xml:space="preserve"> MW </w:t>
      </w:r>
      <w:r w:rsidR="003A6540">
        <w:rPr>
          <w:rFonts w:ascii="Times New Roman" w:hAnsi="Times New Roman"/>
          <w:szCs w:val="24"/>
        </w:rPr>
        <w:t xml:space="preserve">Dry Creek </w:t>
      </w:r>
      <w:r w:rsidRPr="007827CD">
        <w:rPr>
          <w:rFonts w:ascii="Times New Roman" w:hAnsi="Times New Roman"/>
          <w:szCs w:val="24"/>
        </w:rPr>
        <w:t xml:space="preserve">facility. The </w:t>
      </w:r>
      <w:r w:rsidR="003A6540">
        <w:rPr>
          <w:rFonts w:ascii="Times New Roman" w:hAnsi="Times New Roman"/>
          <w:szCs w:val="24"/>
        </w:rPr>
        <w:t xml:space="preserve">Dry Creek </w:t>
      </w:r>
      <w:r w:rsidRPr="007827CD">
        <w:rPr>
          <w:rFonts w:ascii="Times New Roman" w:hAnsi="Times New Roman"/>
          <w:szCs w:val="24"/>
        </w:rPr>
        <w:t>facility</w:t>
      </w:r>
      <w:r>
        <w:rPr>
          <w:rFonts w:ascii="Times New Roman" w:hAnsi="Times New Roman"/>
          <w:szCs w:val="24"/>
        </w:rPr>
        <w:t xml:space="preserve"> is located in </w:t>
      </w:r>
      <w:r w:rsidR="003A6540" w:rsidRPr="003A6540">
        <w:rPr>
          <w:rFonts w:ascii="Times New Roman" w:hAnsi="Times New Roman"/>
          <w:szCs w:val="24"/>
        </w:rPr>
        <w:t xml:space="preserve">Jefferson </w:t>
      </w:r>
      <w:r>
        <w:rPr>
          <w:rFonts w:ascii="Times New Roman" w:hAnsi="Times New Roman"/>
          <w:szCs w:val="24"/>
        </w:rPr>
        <w:t>County, Georg</w:t>
      </w:r>
      <w:r w:rsidRPr="00910E11">
        <w:rPr>
          <w:rFonts w:ascii="Times New Roman" w:hAnsi="Times New Roman"/>
          <w:szCs w:val="24"/>
        </w:rPr>
        <w:t>ia</w:t>
      </w:r>
      <w:r w:rsidRPr="009211A2">
        <w:rPr>
          <w:rFonts w:ascii="Times New Roman" w:hAnsi="Times New Roman"/>
          <w:szCs w:val="24"/>
        </w:rPr>
        <w:t>.</w:t>
      </w:r>
    </w:p>
    <w:p w14:paraId="3B80F2B7" w14:textId="49AEB51F" w:rsidR="003A6540" w:rsidRDefault="003A6540" w:rsidP="001C47F4">
      <w:pPr>
        <w:pStyle w:val="BodyText"/>
        <w:numPr>
          <w:ilvl w:val="0"/>
          <w:numId w:val="21"/>
        </w:numPr>
        <w:ind w:left="1080"/>
        <w:rPr>
          <w:rFonts w:ascii="Times New Roman" w:hAnsi="Times New Roman"/>
          <w:szCs w:val="24"/>
        </w:rPr>
      </w:pPr>
      <w:r w:rsidRPr="007827CD">
        <w:rPr>
          <w:rFonts w:ascii="Times New Roman" w:hAnsi="Times New Roman"/>
          <w:szCs w:val="24"/>
        </w:rPr>
        <w:t xml:space="preserve">A </w:t>
      </w:r>
      <w:r>
        <w:rPr>
          <w:rFonts w:ascii="Times New Roman" w:hAnsi="Times New Roman"/>
          <w:szCs w:val="24"/>
        </w:rPr>
        <w:t>twenty</w:t>
      </w:r>
      <w:r w:rsidRPr="007827CD">
        <w:rPr>
          <w:rFonts w:ascii="Times New Roman" w:hAnsi="Times New Roman"/>
          <w:szCs w:val="24"/>
        </w:rPr>
        <w:t xml:space="preserve"> (</w:t>
      </w:r>
      <w:r>
        <w:rPr>
          <w:rFonts w:ascii="Times New Roman" w:hAnsi="Times New Roman"/>
          <w:szCs w:val="24"/>
        </w:rPr>
        <w:t>2</w:t>
      </w:r>
      <w:r w:rsidRPr="007827CD">
        <w:rPr>
          <w:rFonts w:ascii="Times New Roman" w:hAnsi="Times New Roman"/>
          <w:szCs w:val="24"/>
        </w:rPr>
        <w:t xml:space="preserve">0) year PPA with </w:t>
      </w:r>
      <w:r w:rsidR="00284579" w:rsidRPr="00284579">
        <w:rPr>
          <w:rFonts w:ascii="Times New Roman" w:hAnsi="Times New Roman"/>
          <w:szCs w:val="24"/>
        </w:rPr>
        <w:t>Stellar Shamrock Solar, LLC</w:t>
      </w:r>
      <w:r w:rsidR="00284579">
        <w:rPr>
          <w:rFonts w:ascii="Times New Roman" w:hAnsi="Times New Roman"/>
          <w:szCs w:val="24"/>
        </w:rPr>
        <w:t xml:space="preserve"> </w:t>
      </w:r>
      <w:r w:rsidRPr="007827CD">
        <w:rPr>
          <w:rFonts w:ascii="Times New Roman" w:hAnsi="Times New Roman"/>
          <w:szCs w:val="24"/>
        </w:rPr>
        <w:t xml:space="preserve">that will </w:t>
      </w:r>
      <w:r w:rsidRPr="00AF4849">
        <w:rPr>
          <w:rFonts w:ascii="Times New Roman" w:hAnsi="Times New Roman"/>
          <w:szCs w:val="24"/>
        </w:rPr>
        <w:t xml:space="preserve">provide </w:t>
      </w:r>
      <w:r w:rsidR="00EA410A" w:rsidRPr="00102921">
        <w:rPr>
          <w:rFonts w:ascii="Times New Roman" w:hAnsi="Times New Roman"/>
          <w:szCs w:val="24"/>
        </w:rPr>
        <w:t xml:space="preserve">energy, Environmental Attributes, and Electrical Products </w:t>
      </w:r>
      <w:r w:rsidRPr="007827CD">
        <w:rPr>
          <w:rFonts w:ascii="Times New Roman" w:hAnsi="Times New Roman"/>
          <w:szCs w:val="24"/>
        </w:rPr>
        <w:t xml:space="preserve">from the </w:t>
      </w:r>
      <w:r>
        <w:rPr>
          <w:rFonts w:ascii="Times New Roman" w:hAnsi="Times New Roman"/>
          <w:szCs w:val="24"/>
        </w:rPr>
        <w:t>2</w:t>
      </w:r>
      <w:r w:rsidR="000617FE">
        <w:rPr>
          <w:rFonts w:ascii="Times New Roman" w:hAnsi="Times New Roman"/>
          <w:szCs w:val="24"/>
        </w:rPr>
        <w:t>25</w:t>
      </w:r>
      <w:r w:rsidRPr="007827CD">
        <w:rPr>
          <w:rFonts w:ascii="Times New Roman" w:hAnsi="Times New Roman"/>
          <w:szCs w:val="24"/>
        </w:rPr>
        <w:t xml:space="preserve"> MW </w:t>
      </w:r>
      <w:r w:rsidR="000617FE">
        <w:rPr>
          <w:rFonts w:ascii="Times New Roman" w:hAnsi="Times New Roman"/>
          <w:szCs w:val="24"/>
        </w:rPr>
        <w:t>Shamrock</w:t>
      </w:r>
      <w:r>
        <w:rPr>
          <w:rFonts w:ascii="Times New Roman" w:hAnsi="Times New Roman"/>
          <w:szCs w:val="24"/>
        </w:rPr>
        <w:t xml:space="preserve"> </w:t>
      </w:r>
      <w:r w:rsidRPr="007827CD">
        <w:rPr>
          <w:rFonts w:ascii="Times New Roman" w:hAnsi="Times New Roman"/>
          <w:szCs w:val="24"/>
        </w:rPr>
        <w:t xml:space="preserve">facility. The </w:t>
      </w:r>
      <w:r w:rsidR="000617FE">
        <w:rPr>
          <w:rFonts w:ascii="Times New Roman" w:hAnsi="Times New Roman"/>
          <w:szCs w:val="24"/>
        </w:rPr>
        <w:t>Shamrock</w:t>
      </w:r>
      <w:r>
        <w:rPr>
          <w:rFonts w:ascii="Times New Roman" w:hAnsi="Times New Roman"/>
          <w:szCs w:val="24"/>
        </w:rPr>
        <w:t xml:space="preserve"> </w:t>
      </w:r>
      <w:r w:rsidRPr="007827CD">
        <w:rPr>
          <w:rFonts w:ascii="Times New Roman" w:hAnsi="Times New Roman"/>
          <w:szCs w:val="24"/>
        </w:rPr>
        <w:t>facility</w:t>
      </w:r>
      <w:r>
        <w:rPr>
          <w:rFonts w:ascii="Times New Roman" w:hAnsi="Times New Roman"/>
          <w:szCs w:val="24"/>
        </w:rPr>
        <w:t xml:space="preserve"> is located in </w:t>
      </w:r>
      <w:r w:rsidR="000617FE" w:rsidRPr="000617FE">
        <w:rPr>
          <w:rFonts w:ascii="Times New Roman" w:hAnsi="Times New Roman"/>
          <w:szCs w:val="24"/>
        </w:rPr>
        <w:t>Laurens</w:t>
      </w:r>
      <w:r w:rsidR="000617FE">
        <w:rPr>
          <w:rFonts w:ascii="Times New Roman" w:hAnsi="Times New Roman"/>
          <w:szCs w:val="24"/>
        </w:rPr>
        <w:t xml:space="preserve"> </w:t>
      </w:r>
      <w:r>
        <w:rPr>
          <w:rFonts w:ascii="Times New Roman" w:hAnsi="Times New Roman"/>
          <w:szCs w:val="24"/>
        </w:rPr>
        <w:t>County, Georg</w:t>
      </w:r>
      <w:r w:rsidRPr="00910E11">
        <w:rPr>
          <w:rFonts w:ascii="Times New Roman" w:hAnsi="Times New Roman"/>
          <w:szCs w:val="24"/>
        </w:rPr>
        <w:t>ia</w:t>
      </w:r>
      <w:r w:rsidRPr="009211A2">
        <w:rPr>
          <w:rFonts w:ascii="Times New Roman" w:hAnsi="Times New Roman"/>
          <w:szCs w:val="24"/>
        </w:rPr>
        <w:t>.</w:t>
      </w:r>
    </w:p>
    <w:p w14:paraId="02E37A05" w14:textId="12E9FD2A" w:rsidR="00B10A3E" w:rsidRPr="00285508" w:rsidRDefault="00EA410A" w:rsidP="001C47F4">
      <w:pPr>
        <w:pStyle w:val="BodyText"/>
        <w:rPr>
          <w:rFonts w:ascii="Times New Roman" w:hAnsi="Times New Roman"/>
        </w:rPr>
      </w:pPr>
      <w:r w:rsidRPr="6EEF845A">
        <w:rPr>
          <w:rFonts w:ascii="Times New Roman" w:hAnsi="Times New Roman"/>
        </w:rPr>
        <w:t xml:space="preserve">Collectively, </w:t>
      </w:r>
      <w:r w:rsidR="0047433A">
        <w:rPr>
          <w:rFonts w:ascii="Times New Roman" w:hAnsi="Times New Roman"/>
        </w:rPr>
        <w:t>t</w:t>
      </w:r>
      <w:r w:rsidRPr="6EEF845A">
        <w:rPr>
          <w:rFonts w:ascii="Times New Roman" w:hAnsi="Times New Roman"/>
        </w:rPr>
        <w:t xml:space="preserve">he </w:t>
      </w:r>
      <w:r w:rsidR="00C3582A">
        <w:rPr>
          <w:rFonts w:ascii="Times New Roman" w:hAnsi="Times New Roman"/>
        </w:rPr>
        <w:t>five</w:t>
      </w:r>
      <w:r w:rsidR="00C3582A" w:rsidRPr="000125E4">
        <w:rPr>
          <w:rFonts w:ascii="Times New Roman" w:hAnsi="Times New Roman"/>
        </w:rPr>
        <w:t xml:space="preserve"> </w:t>
      </w:r>
      <w:r w:rsidR="00B30E0A" w:rsidRPr="6EEF845A">
        <w:rPr>
          <w:rFonts w:ascii="Times New Roman" w:hAnsi="Times New Roman"/>
        </w:rPr>
        <w:t xml:space="preserve">CARES </w:t>
      </w:r>
      <w:r w:rsidR="003D2676" w:rsidRPr="6EEF845A">
        <w:rPr>
          <w:rFonts w:ascii="Times New Roman" w:hAnsi="Times New Roman"/>
        </w:rPr>
        <w:t xml:space="preserve">2023 </w:t>
      </w:r>
      <w:r w:rsidR="00072D12" w:rsidRPr="6EEF845A">
        <w:rPr>
          <w:rFonts w:ascii="Times New Roman" w:hAnsi="Times New Roman"/>
        </w:rPr>
        <w:t>Utility Scale Renewable</w:t>
      </w:r>
      <w:r w:rsidR="00DB6593" w:rsidRPr="6EEF845A">
        <w:rPr>
          <w:rFonts w:ascii="Times New Roman" w:hAnsi="Times New Roman"/>
        </w:rPr>
        <w:t xml:space="preserve"> </w:t>
      </w:r>
      <w:r w:rsidR="00580390" w:rsidRPr="6EEF845A">
        <w:rPr>
          <w:rFonts w:ascii="Times New Roman" w:hAnsi="Times New Roman"/>
        </w:rPr>
        <w:t>PPAs</w:t>
      </w:r>
      <w:r w:rsidR="00786E0A" w:rsidRPr="6EEF845A">
        <w:rPr>
          <w:rFonts w:ascii="Times New Roman" w:hAnsi="Times New Roman"/>
        </w:rPr>
        <w:t xml:space="preserve"> </w:t>
      </w:r>
      <w:r w:rsidR="06DB2790" w:rsidRPr="40A9E78D">
        <w:rPr>
          <w:rFonts w:ascii="Times New Roman" w:hAnsi="Times New Roman"/>
        </w:rPr>
        <w:t xml:space="preserve">set forth above </w:t>
      </w:r>
      <w:r w:rsidR="5604DED7" w:rsidRPr="40A9E78D">
        <w:rPr>
          <w:rFonts w:ascii="Times New Roman" w:hAnsi="Times New Roman"/>
        </w:rPr>
        <w:t>(</w:t>
      </w:r>
      <w:r w:rsidR="2622C5E2" w:rsidRPr="40A9E78D">
        <w:rPr>
          <w:rFonts w:ascii="Times New Roman" w:hAnsi="Times New Roman"/>
        </w:rPr>
        <w:t xml:space="preserve">the </w:t>
      </w:r>
      <w:r w:rsidR="5604DED7" w:rsidRPr="40A9E78D">
        <w:rPr>
          <w:rFonts w:ascii="Times New Roman" w:hAnsi="Times New Roman"/>
        </w:rPr>
        <w:t>“</w:t>
      </w:r>
      <w:r w:rsidRPr="6EEF845A">
        <w:rPr>
          <w:rFonts w:ascii="Times New Roman" w:hAnsi="Times New Roman"/>
        </w:rPr>
        <w:t>CARES 2023</w:t>
      </w:r>
      <w:r w:rsidR="00786E0A" w:rsidRPr="6EEF845A">
        <w:rPr>
          <w:rFonts w:ascii="Times New Roman" w:hAnsi="Times New Roman"/>
        </w:rPr>
        <w:t xml:space="preserve"> PPAs”)</w:t>
      </w:r>
      <w:r w:rsidR="00580390" w:rsidRPr="6EEF845A">
        <w:rPr>
          <w:rFonts w:ascii="Times New Roman" w:hAnsi="Times New Roman"/>
        </w:rPr>
        <w:t xml:space="preserve"> </w:t>
      </w:r>
      <w:r w:rsidR="06B017E6" w:rsidRPr="40A9E78D">
        <w:rPr>
          <w:rFonts w:ascii="Times New Roman" w:hAnsi="Times New Roman"/>
        </w:rPr>
        <w:t>are economical</w:t>
      </w:r>
      <w:r w:rsidR="00580390" w:rsidRPr="6EEF845A">
        <w:rPr>
          <w:rFonts w:ascii="Times New Roman" w:hAnsi="Times New Roman"/>
        </w:rPr>
        <w:t xml:space="preserve"> resources that provide both energy and capacity benefits to Georgia Power customers</w:t>
      </w:r>
      <w:r w:rsidR="344B0AEF" w:rsidRPr="1A62F665">
        <w:rPr>
          <w:rFonts w:ascii="Times New Roman" w:hAnsi="Times New Roman"/>
        </w:rPr>
        <w:t>.</w:t>
      </w:r>
      <w:r w:rsidR="00580390" w:rsidRPr="6EEF845A">
        <w:rPr>
          <w:rFonts w:ascii="Times New Roman" w:hAnsi="Times New Roman"/>
        </w:rPr>
        <w:t xml:space="preserve"> </w:t>
      </w:r>
      <w:r w:rsidR="003C2AF8" w:rsidRPr="6EEF845A">
        <w:rPr>
          <w:rFonts w:ascii="Times New Roman" w:hAnsi="Times New Roman"/>
        </w:rPr>
        <w:t>C</w:t>
      </w:r>
      <w:r w:rsidR="00580390" w:rsidRPr="6EEF845A">
        <w:rPr>
          <w:rFonts w:ascii="Times New Roman" w:hAnsi="Times New Roman"/>
        </w:rPr>
        <w:t xml:space="preserve">ertification of the addition of </w:t>
      </w:r>
      <w:r w:rsidR="00EC7A28" w:rsidRPr="6EEF845A">
        <w:rPr>
          <w:rFonts w:ascii="Times New Roman" w:hAnsi="Times New Roman"/>
        </w:rPr>
        <w:t xml:space="preserve">these </w:t>
      </w:r>
      <w:r w:rsidR="00580390" w:rsidRPr="6EEF845A">
        <w:rPr>
          <w:rFonts w:ascii="Times New Roman" w:hAnsi="Times New Roman"/>
        </w:rPr>
        <w:t>new energy resources is appropriate under Georgia law and the Commission Rules.</w:t>
      </w:r>
      <w:r w:rsidR="00D379C0">
        <w:rPr>
          <w:rFonts w:ascii="Times New Roman" w:hAnsi="Times New Roman"/>
        </w:rPr>
        <w:t xml:space="preserve"> Georgia Power</w:t>
      </w:r>
      <w:r w:rsidR="00D379C0" w:rsidRPr="00D379C0">
        <w:rPr>
          <w:rFonts w:ascii="Times New Roman" w:hAnsi="Times New Roman"/>
        </w:rPr>
        <w:t xml:space="preserve"> continue</w:t>
      </w:r>
      <w:r w:rsidR="00D379C0">
        <w:rPr>
          <w:rFonts w:ascii="Times New Roman" w:hAnsi="Times New Roman"/>
        </w:rPr>
        <w:t>s</w:t>
      </w:r>
      <w:r w:rsidR="00D379C0" w:rsidRPr="00D379C0">
        <w:rPr>
          <w:rFonts w:ascii="Times New Roman" w:hAnsi="Times New Roman"/>
        </w:rPr>
        <w:t xml:space="preserve"> to evaluate </w:t>
      </w:r>
      <w:r w:rsidR="00D379C0" w:rsidRPr="00D379C0">
        <w:rPr>
          <w:rFonts w:ascii="Times New Roman" w:hAnsi="Times New Roman"/>
        </w:rPr>
        <w:lastRenderedPageBreak/>
        <w:t xml:space="preserve">additional bids </w:t>
      </w:r>
      <w:r w:rsidR="00D379C0">
        <w:rPr>
          <w:rFonts w:ascii="Times New Roman" w:hAnsi="Times New Roman"/>
        </w:rPr>
        <w:t>elevated to the Short List from the Reserve List</w:t>
      </w:r>
      <w:r w:rsidR="00D379C0" w:rsidRPr="00D379C0">
        <w:rPr>
          <w:rFonts w:ascii="Times New Roman" w:hAnsi="Times New Roman"/>
        </w:rPr>
        <w:t xml:space="preserve"> that </w:t>
      </w:r>
      <w:r w:rsidR="00D379C0">
        <w:rPr>
          <w:rFonts w:ascii="Times New Roman" w:hAnsi="Times New Roman"/>
        </w:rPr>
        <w:t>may</w:t>
      </w:r>
      <w:r w:rsidR="00D379C0" w:rsidRPr="00D379C0">
        <w:rPr>
          <w:rFonts w:ascii="Times New Roman" w:hAnsi="Times New Roman"/>
        </w:rPr>
        <w:t xml:space="preserve"> be in the best interest of all customers </w:t>
      </w:r>
      <w:r w:rsidR="00D379C0">
        <w:rPr>
          <w:rFonts w:ascii="Times New Roman" w:hAnsi="Times New Roman"/>
        </w:rPr>
        <w:t xml:space="preserve">to pursue </w:t>
      </w:r>
      <w:r w:rsidR="00D379C0" w:rsidRPr="00D379C0">
        <w:rPr>
          <w:rFonts w:ascii="Times New Roman" w:hAnsi="Times New Roman"/>
        </w:rPr>
        <w:t>and could add to the resources procured in this solicitation.</w:t>
      </w:r>
    </w:p>
    <w:p w14:paraId="4C3F11D2" w14:textId="271092DB" w:rsidR="005775EE" w:rsidRDefault="00580390" w:rsidP="00B10A3E">
      <w:pPr>
        <w:pStyle w:val="Heading1"/>
        <w:keepNext/>
        <w:tabs>
          <w:tab w:val="clear" w:pos="360"/>
          <w:tab w:val="num" w:pos="720"/>
        </w:tabs>
        <w:spacing w:before="120" w:after="120" w:line="360" w:lineRule="auto"/>
        <w:ind w:left="720" w:hanging="720"/>
      </w:pPr>
      <w:bookmarkStart w:id="10" w:name="_Toc191504500"/>
      <w:r w:rsidRPr="00340060">
        <w:t xml:space="preserve">Issuance of </w:t>
      </w:r>
      <w:r w:rsidR="005775EE">
        <w:t>Utility Scale Renewable RFP</w:t>
      </w:r>
      <w:bookmarkEnd w:id="10"/>
      <w:r w:rsidR="005775EE">
        <w:t xml:space="preserve"> </w:t>
      </w:r>
    </w:p>
    <w:p w14:paraId="2C4EC22D" w14:textId="5714B7B9" w:rsidR="00B10A3E" w:rsidRDefault="00580390" w:rsidP="001C47F4">
      <w:pPr>
        <w:pStyle w:val="BalloonText"/>
        <w:spacing w:after="24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w:t>
      </w:r>
      <w:r w:rsidR="00CA3417">
        <w:rPr>
          <w:rFonts w:ascii="Times New Roman" w:hAnsi="Times New Roman" w:cs="Times New Roman"/>
          <w:sz w:val="24"/>
          <w:szCs w:val="24"/>
        </w:rPr>
        <w:t>portfolio</w:t>
      </w:r>
      <w:r w:rsidR="00CA3417" w:rsidRPr="00BF55C6">
        <w:rPr>
          <w:rFonts w:ascii="Times New Roman" w:hAnsi="Times New Roman" w:cs="Times New Roman"/>
          <w:sz w:val="24"/>
          <w:szCs w:val="24"/>
        </w:rPr>
        <w:t xml:space="preserve"> </w:t>
      </w:r>
      <w:r w:rsidR="00CA3417">
        <w:rPr>
          <w:rFonts w:ascii="Times New Roman" w:hAnsi="Times New Roman" w:cs="Times New Roman"/>
          <w:sz w:val="24"/>
          <w:szCs w:val="24"/>
        </w:rPr>
        <w:t xml:space="preserve">of </w:t>
      </w:r>
      <w:r w:rsidR="000B6ACF">
        <w:rPr>
          <w:rFonts w:ascii="Times New Roman" w:hAnsi="Times New Roman" w:cs="Times New Roman"/>
          <w:sz w:val="24"/>
          <w:szCs w:val="24"/>
        </w:rPr>
        <w:t>CARES 2023</w:t>
      </w:r>
      <w:r w:rsidR="00CA3417" w:rsidRPr="002F12F4">
        <w:rPr>
          <w:rFonts w:ascii="Times New Roman" w:hAnsi="Times New Roman" w:cs="Times New Roman"/>
          <w:sz w:val="24"/>
          <w:szCs w:val="24"/>
        </w:rPr>
        <w:t xml:space="preserve"> PPAs</w:t>
      </w:r>
      <w:r w:rsidR="00A40A60" w:rsidRPr="002F12F4">
        <w:rPr>
          <w:rFonts w:ascii="Times New Roman" w:hAnsi="Times New Roman" w:cs="Times New Roman"/>
          <w:sz w:val="24"/>
          <w:szCs w:val="24"/>
        </w:rPr>
        <w:t xml:space="preserve"> </w:t>
      </w:r>
      <w:r w:rsidR="002D1BEF">
        <w:rPr>
          <w:rFonts w:ascii="Times New Roman" w:hAnsi="Times New Roman" w:cs="Times New Roman"/>
          <w:sz w:val="24"/>
          <w:szCs w:val="24"/>
        </w:rPr>
        <w:t>was</w:t>
      </w:r>
      <w:r w:rsidRPr="002F12F4">
        <w:rPr>
          <w:rFonts w:ascii="Times New Roman" w:hAnsi="Times New Roman" w:cs="Times New Roman"/>
          <w:sz w:val="24"/>
          <w:szCs w:val="24"/>
        </w:rPr>
        <w:t xml:space="preserve"> procured through the </w:t>
      </w:r>
      <w:proofErr w:type="gramStart"/>
      <w:r w:rsidR="00786E0A" w:rsidRPr="002F12F4">
        <w:rPr>
          <w:rFonts w:ascii="Times New Roman" w:hAnsi="Times New Roman" w:cs="Times New Roman"/>
          <w:sz w:val="24"/>
          <w:szCs w:val="24"/>
        </w:rPr>
        <w:t xml:space="preserve">first of two </w:t>
      </w:r>
      <w:r w:rsidR="000B6ACF">
        <w:rPr>
          <w:rFonts w:ascii="Times New Roman" w:hAnsi="Times New Roman" w:cs="Times New Roman"/>
          <w:sz w:val="24"/>
          <w:szCs w:val="24"/>
        </w:rPr>
        <w:t>u</w:t>
      </w:r>
      <w:r w:rsidR="000B6ACF" w:rsidRPr="002F12F4">
        <w:rPr>
          <w:rFonts w:ascii="Times New Roman" w:hAnsi="Times New Roman" w:cs="Times New Roman"/>
          <w:sz w:val="24"/>
          <w:szCs w:val="24"/>
        </w:rPr>
        <w:t>tility</w:t>
      </w:r>
      <w:proofErr w:type="gramEnd"/>
      <w:r w:rsidR="000B6ACF" w:rsidRPr="002F12F4">
        <w:rPr>
          <w:rFonts w:ascii="Times New Roman" w:hAnsi="Times New Roman" w:cs="Times New Roman"/>
          <w:sz w:val="24"/>
          <w:szCs w:val="24"/>
        </w:rPr>
        <w:t xml:space="preserve"> </w:t>
      </w:r>
      <w:r w:rsidR="000B6ACF">
        <w:rPr>
          <w:rFonts w:ascii="Times New Roman" w:hAnsi="Times New Roman" w:cs="Times New Roman"/>
          <w:sz w:val="24"/>
          <w:szCs w:val="24"/>
        </w:rPr>
        <w:t>s</w:t>
      </w:r>
      <w:r w:rsidR="000B6ACF" w:rsidRPr="002F12F4">
        <w:rPr>
          <w:rFonts w:ascii="Times New Roman" w:hAnsi="Times New Roman" w:cs="Times New Roman"/>
          <w:sz w:val="24"/>
          <w:szCs w:val="24"/>
        </w:rPr>
        <w:t xml:space="preserve">cale </w:t>
      </w:r>
      <w:r w:rsidR="000B6ACF">
        <w:rPr>
          <w:rFonts w:ascii="Times New Roman" w:hAnsi="Times New Roman" w:cs="Times New Roman"/>
          <w:sz w:val="24"/>
          <w:szCs w:val="24"/>
        </w:rPr>
        <w:t>r</w:t>
      </w:r>
      <w:r w:rsidR="000B6ACF" w:rsidRPr="002F12F4">
        <w:rPr>
          <w:rFonts w:ascii="Times New Roman" w:hAnsi="Times New Roman" w:cs="Times New Roman"/>
          <w:sz w:val="24"/>
          <w:szCs w:val="24"/>
        </w:rPr>
        <w:t xml:space="preserve">enewable </w:t>
      </w:r>
      <w:r w:rsidRPr="002F12F4">
        <w:rPr>
          <w:rFonts w:ascii="Times New Roman" w:hAnsi="Times New Roman" w:cs="Times New Roman"/>
          <w:sz w:val="24"/>
          <w:szCs w:val="24"/>
        </w:rPr>
        <w:t>RFP</w:t>
      </w:r>
      <w:r w:rsidR="00786E0A" w:rsidRPr="002F12F4">
        <w:rPr>
          <w:rFonts w:ascii="Times New Roman" w:hAnsi="Times New Roman" w:cs="Times New Roman"/>
          <w:sz w:val="24"/>
          <w:szCs w:val="24"/>
        </w:rPr>
        <w:t>s</w:t>
      </w:r>
      <w:r w:rsidR="000B6ACF">
        <w:rPr>
          <w:rFonts w:ascii="Times New Roman" w:hAnsi="Times New Roman" w:cs="Times New Roman"/>
          <w:sz w:val="24"/>
          <w:szCs w:val="24"/>
        </w:rPr>
        <w:t xml:space="preserve"> approved in the 2022 IRP Final Order</w:t>
      </w:r>
      <w:r w:rsidRPr="002F12F4">
        <w:rPr>
          <w:rFonts w:ascii="Times New Roman" w:hAnsi="Times New Roman" w:cs="Times New Roman"/>
          <w:sz w:val="24"/>
          <w:szCs w:val="24"/>
        </w:rPr>
        <w:t>. The</w:t>
      </w:r>
      <w:r>
        <w:rPr>
          <w:rFonts w:ascii="Times New Roman" w:hAnsi="Times New Roman" w:cs="Times New Roman"/>
          <w:sz w:val="24"/>
          <w:szCs w:val="24"/>
        </w:rPr>
        <w:t xml:space="preserve"> </w:t>
      </w:r>
      <w:r w:rsidR="000B6ACF">
        <w:rPr>
          <w:rFonts w:ascii="Times New Roman" w:hAnsi="Times New Roman" w:cs="Times New Roman"/>
          <w:sz w:val="24"/>
          <w:szCs w:val="24"/>
        </w:rPr>
        <w:t>CARES 2023 US</w:t>
      </w:r>
      <w:r w:rsidR="00053B76">
        <w:rPr>
          <w:rFonts w:ascii="Times New Roman" w:hAnsi="Times New Roman" w:cs="Times New Roman"/>
          <w:sz w:val="24"/>
          <w:szCs w:val="24"/>
        </w:rPr>
        <w:t xml:space="preserve"> </w:t>
      </w:r>
      <w:r w:rsidRPr="00B23384">
        <w:rPr>
          <w:rFonts w:ascii="Times New Roman" w:hAnsi="Times New Roman" w:cs="Times New Roman"/>
          <w:sz w:val="24"/>
          <w:szCs w:val="24"/>
        </w:rPr>
        <w:t>RFP</w:t>
      </w:r>
      <w:r w:rsidR="00762B96">
        <w:rPr>
          <w:rFonts w:ascii="Times New Roman" w:hAnsi="Times New Roman" w:cs="Times New Roman"/>
          <w:sz w:val="24"/>
          <w:szCs w:val="24"/>
        </w:rPr>
        <w:t xml:space="preserve"> </w:t>
      </w:r>
      <w:r w:rsidRPr="00B23384">
        <w:rPr>
          <w:rFonts w:ascii="Times New Roman" w:hAnsi="Times New Roman" w:cs="Times New Roman"/>
          <w:sz w:val="24"/>
          <w:szCs w:val="24"/>
        </w:rPr>
        <w:t>sought</w:t>
      </w:r>
      <w:r w:rsidRPr="001E059C">
        <w:rPr>
          <w:rFonts w:ascii="Times New Roman" w:hAnsi="Times New Roman" w:cs="Times New Roman"/>
          <w:sz w:val="24"/>
          <w:szCs w:val="24"/>
        </w:rPr>
        <w:t xml:space="preserve"> to </w:t>
      </w:r>
      <w:r>
        <w:rPr>
          <w:rFonts w:ascii="Times New Roman" w:hAnsi="Times New Roman" w:cs="Times New Roman"/>
          <w:sz w:val="24"/>
          <w:szCs w:val="24"/>
        </w:rPr>
        <w:t xml:space="preserve">procure </w:t>
      </w:r>
      <w:r w:rsidR="000B3B58">
        <w:rPr>
          <w:rFonts w:ascii="Times New Roman" w:hAnsi="Times New Roman" w:cs="Times New Roman"/>
          <w:sz w:val="24"/>
          <w:szCs w:val="24"/>
        </w:rPr>
        <w:t>approximately</w:t>
      </w:r>
      <w:r w:rsidR="00053B76">
        <w:rPr>
          <w:rFonts w:ascii="Times New Roman" w:hAnsi="Times New Roman" w:cs="Times New Roman"/>
          <w:sz w:val="24"/>
          <w:szCs w:val="24"/>
        </w:rPr>
        <w:t xml:space="preserve"> </w:t>
      </w:r>
      <w:r w:rsidR="002F12F4" w:rsidRPr="002F12F4">
        <w:rPr>
          <w:rFonts w:ascii="Times New Roman" w:hAnsi="Times New Roman" w:cs="Times New Roman"/>
          <w:sz w:val="24"/>
          <w:szCs w:val="24"/>
        </w:rPr>
        <w:t>2,875 MW</w:t>
      </w:r>
      <w:r w:rsidRPr="001E059C">
        <w:rPr>
          <w:rFonts w:ascii="Times New Roman" w:hAnsi="Times New Roman" w:cs="Times New Roman"/>
          <w:sz w:val="24"/>
          <w:szCs w:val="24"/>
        </w:rPr>
        <w:t>.</w:t>
      </w:r>
      <w:r w:rsidR="000B6ACF">
        <w:rPr>
          <w:rFonts w:ascii="Times New Roman" w:hAnsi="Times New Roman" w:cs="Times New Roman"/>
          <w:sz w:val="24"/>
          <w:szCs w:val="24"/>
        </w:rPr>
        <w:t xml:space="preserve"> </w:t>
      </w:r>
      <w:r w:rsidR="00220E3E">
        <w:rPr>
          <w:rFonts w:ascii="Times New Roman" w:hAnsi="Times New Roman" w:cs="Times New Roman"/>
          <w:sz w:val="24"/>
          <w:szCs w:val="24"/>
        </w:rPr>
        <w:t xml:space="preserve">Georgia Power sought renewable </w:t>
      </w:r>
      <w:r w:rsidR="003D2676">
        <w:rPr>
          <w:rFonts w:ascii="Times New Roman" w:hAnsi="Times New Roman" w:cs="Times New Roman"/>
          <w:sz w:val="24"/>
          <w:szCs w:val="24"/>
        </w:rPr>
        <w:t xml:space="preserve">resources </w:t>
      </w:r>
      <w:r w:rsidR="00220E3E">
        <w:rPr>
          <w:rFonts w:ascii="Times New Roman" w:hAnsi="Times New Roman" w:cs="Times New Roman"/>
          <w:sz w:val="24"/>
          <w:szCs w:val="24"/>
        </w:rPr>
        <w:t xml:space="preserve">that </w:t>
      </w:r>
      <w:r w:rsidR="00220E3E" w:rsidRPr="004B05D7">
        <w:rPr>
          <w:rFonts w:ascii="Times New Roman" w:hAnsi="Times New Roman" w:cs="Times New Roman"/>
          <w:sz w:val="24"/>
          <w:szCs w:val="24"/>
        </w:rPr>
        <w:t xml:space="preserve">could be in service by </w:t>
      </w:r>
      <w:r w:rsidR="004F2A28" w:rsidRPr="004B05D7">
        <w:rPr>
          <w:rFonts w:ascii="Times New Roman" w:hAnsi="Times New Roman" w:cs="Times New Roman"/>
          <w:sz w:val="24"/>
          <w:szCs w:val="24"/>
        </w:rPr>
        <w:t>2026, 2027, or 2028</w:t>
      </w:r>
      <w:r w:rsidR="00220E3E">
        <w:rPr>
          <w:rFonts w:ascii="Times New Roman" w:hAnsi="Times New Roman" w:cs="Times New Roman"/>
          <w:sz w:val="24"/>
          <w:szCs w:val="24"/>
        </w:rPr>
        <w:t xml:space="preserve">. </w:t>
      </w:r>
      <w:r w:rsidR="00A71439">
        <w:rPr>
          <w:rFonts w:ascii="Times New Roman" w:hAnsi="Times New Roman" w:cs="Times New Roman"/>
          <w:sz w:val="24"/>
          <w:szCs w:val="24"/>
        </w:rPr>
        <w:t>Consistent with</w:t>
      </w:r>
      <w:r w:rsidRPr="008F78D9">
        <w:rPr>
          <w:rFonts w:ascii="Times New Roman" w:hAnsi="Times New Roman" w:cs="Times New Roman"/>
          <w:sz w:val="24"/>
          <w:szCs w:val="24"/>
        </w:rPr>
        <w:t xml:space="preserve"> prior programs, the </w:t>
      </w:r>
      <w:r w:rsidR="00A71439">
        <w:rPr>
          <w:rFonts w:ascii="Times New Roman" w:hAnsi="Times New Roman" w:cs="Times New Roman"/>
          <w:sz w:val="24"/>
          <w:szCs w:val="24"/>
        </w:rPr>
        <w:t>CARES 2023</w:t>
      </w:r>
      <w:r w:rsidR="00A40A60">
        <w:rPr>
          <w:rFonts w:ascii="Times New Roman" w:hAnsi="Times New Roman" w:cs="Times New Roman"/>
          <w:sz w:val="24"/>
          <w:szCs w:val="24"/>
        </w:rPr>
        <w:t xml:space="preserve"> RFP</w:t>
      </w:r>
      <w:r w:rsidRPr="008F78D9">
        <w:rPr>
          <w:rFonts w:ascii="Times New Roman" w:hAnsi="Times New Roman" w:cs="Times New Roman"/>
          <w:sz w:val="24"/>
          <w:szCs w:val="24"/>
        </w:rPr>
        <w:t xml:space="preserve"> </w:t>
      </w:r>
      <w:r w:rsidRPr="0029074B">
        <w:rPr>
          <w:rFonts w:ascii="Times New Roman" w:hAnsi="Times New Roman" w:cs="Times New Roman"/>
          <w:sz w:val="24"/>
          <w:szCs w:val="24"/>
        </w:rPr>
        <w:t>was made available to eligible renewable resources located anywhere in the United States.</w:t>
      </w:r>
    </w:p>
    <w:p w14:paraId="647C0DB0" w14:textId="099579DE" w:rsidR="00B10A3E" w:rsidRDefault="00580390" w:rsidP="001C47F4">
      <w:pPr>
        <w:pStyle w:val="BalloonText"/>
        <w:spacing w:after="24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accordance with the Commission’s rule governing RFPs, the Company drafted the </w:t>
      </w:r>
      <w:r w:rsidR="00CA40D9">
        <w:rPr>
          <w:rFonts w:ascii="Times New Roman" w:hAnsi="Times New Roman" w:cs="Times New Roman"/>
          <w:sz w:val="24"/>
          <w:szCs w:val="24"/>
        </w:rPr>
        <w:t xml:space="preserve">CARES </w:t>
      </w:r>
      <w:r w:rsidR="00A71439" w:rsidRPr="002917C7">
        <w:rPr>
          <w:rFonts w:ascii="Times New Roman" w:hAnsi="Times New Roman" w:cs="Times New Roman"/>
          <w:sz w:val="24"/>
          <w:szCs w:val="24"/>
        </w:rPr>
        <w:t>2023 US</w:t>
      </w:r>
      <w:r w:rsidR="00A40A60" w:rsidRPr="002917C7">
        <w:rPr>
          <w:rFonts w:ascii="Times New Roman" w:hAnsi="Times New Roman" w:cs="Times New Roman"/>
          <w:sz w:val="24"/>
          <w:szCs w:val="24"/>
        </w:rPr>
        <w:t xml:space="preserve"> RFP</w:t>
      </w:r>
      <w:r w:rsidRPr="002917C7">
        <w:rPr>
          <w:rFonts w:ascii="Times New Roman" w:hAnsi="Times New Roman" w:cs="Times New Roman"/>
          <w:sz w:val="24"/>
          <w:szCs w:val="24"/>
        </w:rPr>
        <w:t xml:space="preserve">, a </w:t>
      </w:r>
      <w:r w:rsidR="00EC7A28" w:rsidRPr="002917C7">
        <w:rPr>
          <w:rFonts w:ascii="Times New Roman" w:hAnsi="Times New Roman" w:cs="Times New Roman"/>
          <w:sz w:val="24"/>
          <w:szCs w:val="24"/>
        </w:rPr>
        <w:t xml:space="preserve">pro forma </w:t>
      </w:r>
      <w:r w:rsidR="00CA40D9" w:rsidRPr="002917C7">
        <w:rPr>
          <w:rFonts w:ascii="Times New Roman" w:hAnsi="Times New Roman" w:cs="Times New Roman"/>
          <w:sz w:val="24"/>
          <w:szCs w:val="24"/>
        </w:rPr>
        <w:t xml:space="preserve">Energy Only </w:t>
      </w:r>
      <w:r w:rsidRPr="002917C7">
        <w:rPr>
          <w:rFonts w:ascii="Times New Roman" w:hAnsi="Times New Roman" w:cs="Times New Roman"/>
          <w:sz w:val="24"/>
          <w:szCs w:val="24"/>
        </w:rPr>
        <w:t>PPA</w:t>
      </w:r>
      <w:r w:rsidR="00CA40D9" w:rsidRPr="002917C7">
        <w:rPr>
          <w:rFonts w:ascii="Times New Roman" w:hAnsi="Times New Roman" w:cs="Times New Roman"/>
          <w:sz w:val="24"/>
          <w:szCs w:val="24"/>
        </w:rPr>
        <w:t xml:space="preserve">, </w:t>
      </w:r>
      <w:r w:rsidRPr="002917C7">
        <w:rPr>
          <w:rFonts w:ascii="Times New Roman" w:hAnsi="Times New Roman" w:cs="Times New Roman"/>
          <w:sz w:val="24"/>
          <w:szCs w:val="24"/>
        </w:rPr>
        <w:t xml:space="preserve">a </w:t>
      </w:r>
      <w:r w:rsidR="00EC7A28" w:rsidRPr="002917C7">
        <w:rPr>
          <w:rFonts w:ascii="Times New Roman" w:hAnsi="Times New Roman" w:cs="Times New Roman"/>
          <w:sz w:val="24"/>
          <w:szCs w:val="24"/>
        </w:rPr>
        <w:t xml:space="preserve">pro forma </w:t>
      </w:r>
      <w:r w:rsidR="00CA40D9" w:rsidRPr="002917C7">
        <w:rPr>
          <w:rFonts w:ascii="Times New Roman" w:hAnsi="Times New Roman" w:cs="Times New Roman"/>
          <w:sz w:val="24"/>
          <w:szCs w:val="24"/>
        </w:rPr>
        <w:t xml:space="preserve">Energy </w:t>
      </w:r>
      <w:r w:rsidR="00BA5788" w:rsidRPr="002917C7">
        <w:rPr>
          <w:rFonts w:ascii="Times New Roman" w:hAnsi="Times New Roman" w:cs="Times New Roman"/>
          <w:sz w:val="24"/>
          <w:szCs w:val="24"/>
        </w:rPr>
        <w:t xml:space="preserve">with </w:t>
      </w:r>
      <w:r w:rsidR="00CA40D9" w:rsidRPr="002917C7">
        <w:rPr>
          <w:rFonts w:ascii="Times New Roman" w:hAnsi="Times New Roman" w:cs="Times New Roman"/>
          <w:sz w:val="24"/>
          <w:szCs w:val="24"/>
        </w:rPr>
        <w:t xml:space="preserve">Storage </w:t>
      </w:r>
      <w:r w:rsidRPr="002917C7">
        <w:rPr>
          <w:rFonts w:ascii="Times New Roman" w:hAnsi="Times New Roman" w:cs="Times New Roman"/>
          <w:sz w:val="24"/>
          <w:szCs w:val="24"/>
        </w:rPr>
        <w:t>PPA</w:t>
      </w:r>
      <w:r w:rsidR="00CA40D9" w:rsidRPr="002917C7">
        <w:rPr>
          <w:rFonts w:ascii="Times New Roman" w:hAnsi="Times New Roman" w:cs="Times New Roman"/>
          <w:sz w:val="24"/>
          <w:szCs w:val="24"/>
        </w:rPr>
        <w:t xml:space="preserve">, a pro forma </w:t>
      </w:r>
      <w:proofErr w:type="spellStart"/>
      <w:r w:rsidR="002917C7">
        <w:rPr>
          <w:rFonts w:ascii="Times New Roman" w:hAnsi="Times New Roman" w:cs="Times New Roman"/>
          <w:sz w:val="24"/>
          <w:szCs w:val="24"/>
        </w:rPr>
        <w:t>CFE</w:t>
      </w:r>
      <w:proofErr w:type="spellEnd"/>
      <w:r w:rsidR="002917C7">
        <w:rPr>
          <w:rFonts w:ascii="Times New Roman" w:hAnsi="Times New Roman" w:cs="Times New Roman"/>
          <w:sz w:val="24"/>
          <w:szCs w:val="24"/>
        </w:rPr>
        <w:t>-ATC</w:t>
      </w:r>
      <w:r w:rsidR="00CA40D9" w:rsidRPr="002917C7">
        <w:rPr>
          <w:rFonts w:ascii="Times New Roman" w:hAnsi="Times New Roman" w:cs="Times New Roman"/>
          <w:sz w:val="24"/>
          <w:szCs w:val="24"/>
        </w:rPr>
        <w:t xml:space="preserve"> PPA, a pro forma Asset Purchase Agreement</w:t>
      </w:r>
      <w:r w:rsidR="00BA5788" w:rsidRPr="002917C7">
        <w:rPr>
          <w:rFonts w:ascii="Times New Roman" w:hAnsi="Times New Roman" w:cs="Times New Roman"/>
          <w:sz w:val="24"/>
          <w:szCs w:val="24"/>
        </w:rPr>
        <w:t xml:space="preserve"> (“APA”)</w:t>
      </w:r>
      <w:r w:rsidR="00CA40D9" w:rsidRPr="002917C7">
        <w:rPr>
          <w:rFonts w:ascii="Times New Roman" w:hAnsi="Times New Roman" w:cs="Times New Roman"/>
          <w:sz w:val="24"/>
          <w:szCs w:val="24"/>
        </w:rPr>
        <w:t>, and a pro forma Build Transfer Agreement</w:t>
      </w:r>
      <w:r w:rsidR="00BA5788" w:rsidRPr="002917C7">
        <w:rPr>
          <w:rFonts w:ascii="Times New Roman" w:hAnsi="Times New Roman" w:cs="Times New Roman"/>
          <w:sz w:val="24"/>
          <w:szCs w:val="24"/>
        </w:rPr>
        <w:t xml:space="preserve"> (“BTA”)</w:t>
      </w:r>
      <w:r w:rsidR="001A7129" w:rsidRPr="002917C7">
        <w:rPr>
          <w:rFonts w:ascii="Times New Roman" w:hAnsi="Times New Roman" w:cs="Times New Roman"/>
          <w:sz w:val="24"/>
          <w:szCs w:val="24"/>
        </w:rPr>
        <w:t xml:space="preserve"> </w:t>
      </w:r>
      <w:r w:rsidRPr="002917C7">
        <w:rPr>
          <w:rFonts w:ascii="Times New Roman" w:hAnsi="Times New Roman" w:cs="Times New Roman"/>
          <w:sz w:val="24"/>
          <w:szCs w:val="24"/>
        </w:rPr>
        <w:t>(collectively, the “RFP Documents”)</w:t>
      </w:r>
      <w:r>
        <w:rPr>
          <w:rFonts w:ascii="Times New Roman" w:hAnsi="Times New Roman" w:cs="Times New Roman"/>
          <w:sz w:val="24"/>
          <w:szCs w:val="24"/>
        </w:rPr>
        <w:t xml:space="preserve"> with input from potential </w:t>
      </w:r>
      <w:r w:rsidR="00BA5788">
        <w:rPr>
          <w:rFonts w:ascii="Times New Roman" w:hAnsi="Times New Roman" w:cs="Times New Roman"/>
          <w:sz w:val="24"/>
          <w:szCs w:val="24"/>
        </w:rPr>
        <w:t>RFP participants</w:t>
      </w:r>
      <w:r>
        <w:rPr>
          <w:rFonts w:ascii="Times New Roman" w:hAnsi="Times New Roman" w:cs="Times New Roman"/>
          <w:sz w:val="24"/>
          <w:szCs w:val="24"/>
        </w:rPr>
        <w:t>, the Commission Staff</w:t>
      </w:r>
      <w:r w:rsidR="0087032E">
        <w:rPr>
          <w:rFonts w:ascii="Times New Roman" w:hAnsi="Times New Roman" w:cs="Times New Roman"/>
          <w:sz w:val="24"/>
          <w:szCs w:val="24"/>
        </w:rPr>
        <w:t>,</w:t>
      </w:r>
      <w:r>
        <w:rPr>
          <w:rFonts w:ascii="Times New Roman" w:hAnsi="Times New Roman" w:cs="Times New Roman"/>
          <w:sz w:val="24"/>
          <w:szCs w:val="24"/>
        </w:rPr>
        <w:t xml:space="preserve"> and the IE</w:t>
      </w:r>
      <w:r w:rsidRPr="00E9798D">
        <w:rPr>
          <w:rFonts w:ascii="Times New Roman" w:hAnsi="Times New Roman" w:cs="Times New Roman"/>
          <w:sz w:val="24"/>
          <w:szCs w:val="24"/>
        </w:rPr>
        <w:t xml:space="preserve">. Drafts of the RFP Documents were posted on the IE Website on </w:t>
      </w:r>
      <w:r w:rsidR="009B2DAF" w:rsidRPr="009B2DAF">
        <w:rPr>
          <w:rFonts w:ascii="Times New Roman" w:hAnsi="Times New Roman" w:cs="Times New Roman"/>
          <w:sz w:val="24"/>
          <w:szCs w:val="24"/>
        </w:rPr>
        <w:t>October</w:t>
      </w:r>
      <w:r w:rsidR="00BA5788">
        <w:rPr>
          <w:rFonts w:ascii="Times New Roman" w:hAnsi="Times New Roman" w:cs="Times New Roman"/>
          <w:sz w:val="24"/>
          <w:szCs w:val="24"/>
        </w:rPr>
        <w:t> </w:t>
      </w:r>
      <w:r w:rsidR="009B2DAF" w:rsidRPr="009B2DAF">
        <w:rPr>
          <w:rFonts w:ascii="Times New Roman" w:hAnsi="Times New Roman" w:cs="Times New Roman"/>
          <w:sz w:val="24"/>
          <w:szCs w:val="24"/>
        </w:rPr>
        <w:t>5, 2023,</w:t>
      </w:r>
      <w:r w:rsidRPr="009B2DAF">
        <w:rPr>
          <w:rFonts w:ascii="Times New Roman" w:hAnsi="Times New Roman" w:cs="Times New Roman"/>
          <w:sz w:val="24"/>
          <w:szCs w:val="24"/>
        </w:rPr>
        <w:t xml:space="preserve"> thereby</w:t>
      </w:r>
      <w:r w:rsidRPr="00E9798D">
        <w:rPr>
          <w:rFonts w:ascii="Times New Roman" w:hAnsi="Times New Roman" w:cs="Times New Roman"/>
          <w:sz w:val="24"/>
          <w:szCs w:val="24"/>
        </w:rPr>
        <w:t xml:space="preserve"> opening the Comment Period. </w:t>
      </w:r>
      <w:r w:rsidR="00220E3E" w:rsidRPr="002917C7">
        <w:rPr>
          <w:rFonts w:ascii="Times New Roman" w:hAnsi="Times New Roman" w:cs="Times New Roman"/>
          <w:sz w:val="24"/>
          <w:szCs w:val="24"/>
        </w:rPr>
        <w:t xml:space="preserve">Georgia </w:t>
      </w:r>
      <w:r w:rsidRPr="002917C7">
        <w:rPr>
          <w:rFonts w:ascii="Times New Roman" w:hAnsi="Times New Roman" w:cs="Times New Roman"/>
          <w:sz w:val="24"/>
          <w:szCs w:val="24"/>
        </w:rPr>
        <w:t>Power</w:t>
      </w:r>
      <w:r w:rsidR="00BC4789" w:rsidRPr="002917C7">
        <w:rPr>
          <w:rFonts w:ascii="Times New Roman" w:hAnsi="Times New Roman" w:cs="Times New Roman"/>
          <w:sz w:val="24"/>
          <w:szCs w:val="24"/>
        </w:rPr>
        <w:t xml:space="preserve"> received 160 comments (52 on the RFP Documents and 108 on the proposed pro forma agreements) </w:t>
      </w:r>
      <w:r w:rsidR="784DBBA4" w:rsidRPr="78851F58">
        <w:rPr>
          <w:rFonts w:ascii="Times New Roman" w:hAnsi="Times New Roman" w:cs="Times New Roman"/>
          <w:sz w:val="24"/>
          <w:szCs w:val="24"/>
        </w:rPr>
        <w:t>from</w:t>
      </w:r>
      <w:r w:rsidR="00BC4789" w:rsidRPr="002917C7">
        <w:rPr>
          <w:rFonts w:ascii="Times New Roman" w:hAnsi="Times New Roman" w:cs="Times New Roman"/>
          <w:sz w:val="24"/>
          <w:szCs w:val="24"/>
        </w:rPr>
        <w:t xml:space="preserve"> </w:t>
      </w:r>
      <w:r w:rsidR="002917C7" w:rsidRPr="002917C7">
        <w:rPr>
          <w:rFonts w:ascii="Times New Roman" w:hAnsi="Times New Roman" w:cs="Times New Roman"/>
          <w:sz w:val="24"/>
          <w:szCs w:val="24"/>
        </w:rPr>
        <w:t>12</w:t>
      </w:r>
      <w:r w:rsidR="00BC4789" w:rsidRPr="002917C7">
        <w:rPr>
          <w:rFonts w:ascii="Times New Roman" w:hAnsi="Times New Roman" w:cs="Times New Roman"/>
          <w:sz w:val="24"/>
          <w:szCs w:val="24"/>
        </w:rPr>
        <w:t xml:space="preserve"> different commenters </w:t>
      </w:r>
      <w:r w:rsidRPr="002917C7">
        <w:rPr>
          <w:rFonts w:ascii="Times New Roman" w:hAnsi="Times New Roman" w:cs="Times New Roman"/>
          <w:sz w:val="24"/>
          <w:szCs w:val="24"/>
        </w:rPr>
        <w:t>during the Comment Period.</w:t>
      </w:r>
      <w:r w:rsidRPr="00220E3E">
        <w:rPr>
          <w:rFonts w:ascii="Times New Roman" w:hAnsi="Times New Roman" w:cs="Times New Roman"/>
          <w:sz w:val="24"/>
          <w:szCs w:val="24"/>
        </w:rPr>
        <w:t xml:space="preserve"> Each of the comments submitted was reviewed by the Company, Commission Staff</w:t>
      </w:r>
      <w:r w:rsidR="003D2676">
        <w:rPr>
          <w:rFonts w:ascii="Times New Roman" w:hAnsi="Times New Roman" w:cs="Times New Roman"/>
          <w:sz w:val="24"/>
          <w:szCs w:val="24"/>
        </w:rPr>
        <w:t>,</w:t>
      </w:r>
      <w:r w:rsidRPr="00220E3E">
        <w:rPr>
          <w:rFonts w:ascii="Times New Roman" w:hAnsi="Times New Roman" w:cs="Times New Roman"/>
          <w:sz w:val="24"/>
          <w:szCs w:val="24"/>
        </w:rPr>
        <w:t xml:space="preserve"> and </w:t>
      </w:r>
      <w:r w:rsidR="006C2271">
        <w:rPr>
          <w:rFonts w:ascii="Times New Roman" w:hAnsi="Times New Roman" w:cs="Times New Roman"/>
          <w:sz w:val="24"/>
          <w:szCs w:val="24"/>
        </w:rPr>
        <w:t xml:space="preserve">the </w:t>
      </w:r>
      <w:r w:rsidRPr="00220E3E">
        <w:rPr>
          <w:rFonts w:ascii="Times New Roman" w:hAnsi="Times New Roman" w:cs="Times New Roman"/>
          <w:sz w:val="24"/>
          <w:szCs w:val="24"/>
        </w:rPr>
        <w:t>IE</w:t>
      </w:r>
      <w:r w:rsidR="2D4F28DD" w:rsidRPr="7C46F405">
        <w:rPr>
          <w:rFonts w:ascii="Times New Roman" w:hAnsi="Times New Roman" w:cs="Times New Roman"/>
          <w:sz w:val="24"/>
          <w:szCs w:val="24"/>
        </w:rPr>
        <w:t xml:space="preserve">. Thereafter, </w:t>
      </w:r>
      <w:r w:rsidR="00BC4789">
        <w:rPr>
          <w:rFonts w:ascii="Times New Roman" w:hAnsi="Times New Roman" w:cs="Times New Roman"/>
          <w:sz w:val="24"/>
          <w:szCs w:val="24"/>
        </w:rPr>
        <w:t>responses to the c</w:t>
      </w:r>
      <w:r w:rsidR="00BF24B8">
        <w:rPr>
          <w:rFonts w:ascii="Times New Roman" w:hAnsi="Times New Roman" w:cs="Times New Roman"/>
          <w:sz w:val="24"/>
          <w:szCs w:val="24"/>
        </w:rPr>
        <w:t>omments were provided to the commenters by the IE on December 4, 2023</w:t>
      </w:r>
      <w:r w:rsidRPr="00220E3E">
        <w:rPr>
          <w:rFonts w:ascii="Times New Roman" w:hAnsi="Times New Roman" w:cs="Times New Roman"/>
          <w:sz w:val="24"/>
          <w:szCs w:val="24"/>
        </w:rPr>
        <w:t xml:space="preserve">. Georgia Power incorporated all appropriate revisions </w:t>
      </w:r>
      <w:r w:rsidR="00BA5788">
        <w:rPr>
          <w:rFonts w:ascii="Times New Roman" w:hAnsi="Times New Roman" w:cs="Times New Roman"/>
          <w:sz w:val="24"/>
          <w:szCs w:val="24"/>
        </w:rPr>
        <w:t xml:space="preserve">to the RFP Documents </w:t>
      </w:r>
      <w:r w:rsidRPr="00220E3E">
        <w:rPr>
          <w:rFonts w:ascii="Times New Roman" w:hAnsi="Times New Roman" w:cs="Times New Roman"/>
          <w:sz w:val="24"/>
          <w:szCs w:val="24"/>
        </w:rPr>
        <w:t>suggested by the market.</w:t>
      </w:r>
    </w:p>
    <w:p w14:paraId="062614DF" w14:textId="64BA92B7" w:rsidR="00B10A3E" w:rsidRDefault="00580390" w:rsidP="001C47F4">
      <w:pPr>
        <w:pStyle w:val="BalloonText"/>
        <w:spacing w:after="24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On </w:t>
      </w:r>
      <w:r w:rsidR="001E6EB1" w:rsidRPr="00A04832">
        <w:rPr>
          <w:rFonts w:ascii="Times New Roman" w:hAnsi="Times New Roman" w:cs="Times New Roman"/>
          <w:sz w:val="24"/>
          <w:szCs w:val="24"/>
        </w:rPr>
        <w:t>October 11, 2023</w:t>
      </w:r>
      <w:r w:rsidRPr="00A04832">
        <w:rPr>
          <w:rFonts w:ascii="Times New Roman" w:hAnsi="Times New Roman" w:cs="Times New Roman"/>
          <w:sz w:val="24"/>
          <w:szCs w:val="24"/>
        </w:rPr>
        <w:t>,</w:t>
      </w:r>
      <w:r>
        <w:rPr>
          <w:rFonts w:ascii="Times New Roman" w:hAnsi="Times New Roman" w:cs="Times New Roman"/>
          <w:sz w:val="24"/>
          <w:szCs w:val="24"/>
        </w:rPr>
        <w:t xml:space="preserve"> </w:t>
      </w:r>
      <w:r w:rsidRPr="00624BE1">
        <w:rPr>
          <w:rFonts w:ascii="Times New Roman" w:hAnsi="Times New Roman" w:cs="Times New Roman"/>
          <w:sz w:val="24"/>
          <w:szCs w:val="24"/>
        </w:rPr>
        <w:t xml:space="preserve">a Bidders Conference </w:t>
      </w:r>
      <w:r w:rsidR="00E36DBF" w:rsidRPr="00624BE1">
        <w:rPr>
          <w:rFonts w:ascii="Times New Roman" w:hAnsi="Times New Roman" w:cs="Times New Roman"/>
          <w:sz w:val="24"/>
          <w:szCs w:val="24"/>
        </w:rPr>
        <w:t xml:space="preserve">webinar </w:t>
      </w:r>
      <w:r w:rsidRPr="00624BE1">
        <w:rPr>
          <w:rFonts w:ascii="Times New Roman" w:hAnsi="Times New Roman" w:cs="Times New Roman"/>
          <w:sz w:val="24"/>
          <w:szCs w:val="24"/>
        </w:rPr>
        <w:t>was</w:t>
      </w:r>
      <w:r>
        <w:rPr>
          <w:rFonts w:ascii="Times New Roman" w:hAnsi="Times New Roman" w:cs="Times New Roman"/>
          <w:sz w:val="24"/>
          <w:szCs w:val="24"/>
        </w:rPr>
        <w:t xml:space="preserve"> held to allow potential bidders and interested parties the opportunity to </w:t>
      </w:r>
      <w:r w:rsidR="008E4C78">
        <w:rPr>
          <w:rFonts w:ascii="Times New Roman" w:hAnsi="Times New Roman" w:cs="Times New Roman"/>
          <w:sz w:val="24"/>
          <w:szCs w:val="24"/>
        </w:rPr>
        <w:t xml:space="preserve">receive more information about the RFP from </w:t>
      </w:r>
      <w:r>
        <w:rPr>
          <w:rFonts w:ascii="Times New Roman" w:hAnsi="Times New Roman" w:cs="Times New Roman"/>
          <w:sz w:val="24"/>
          <w:szCs w:val="24"/>
        </w:rPr>
        <w:t>Georgia Power, Commission Staff</w:t>
      </w:r>
      <w:r w:rsidR="00E9798D">
        <w:rPr>
          <w:rFonts w:ascii="Times New Roman" w:hAnsi="Times New Roman" w:cs="Times New Roman"/>
          <w:sz w:val="24"/>
          <w:szCs w:val="24"/>
        </w:rPr>
        <w:t>,</w:t>
      </w:r>
      <w:r>
        <w:rPr>
          <w:rFonts w:ascii="Times New Roman" w:hAnsi="Times New Roman" w:cs="Times New Roman"/>
          <w:sz w:val="24"/>
          <w:szCs w:val="24"/>
        </w:rPr>
        <w:t xml:space="preserve"> and the IE, and to ask additional questions and further comment upon the RFP Documents.</w:t>
      </w:r>
    </w:p>
    <w:p w14:paraId="5603B948" w14:textId="43E60D69" w:rsidR="00A3241D" w:rsidRDefault="00580390" w:rsidP="00B622DC">
      <w:pPr>
        <w:pStyle w:val="BalloonText"/>
        <w:spacing w:after="24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addition, the </w:t>
      </w:r>
      <w:r w:rsidRPr="0087032E">
        <w:rPr>
          <w:rFonts w:ascii="Times New Roman" w:hAnsi="Times New Roman" w:cs="Times New Roman"/>
          <w:sz w:val="24"/>
          <w:szCs w:val="24"/>
        </w:rPr>
        <w:t xml:space="preserve">Company responded to </w:t>
      </w:r>
      <w:r w:rsidR="00BA5788" w:rsidRPr="0087032E">
        <w:rPr>
          <w:rFonts w:ascii="Times New Roman" w:hAnsi="Times New Roman" w:cs="Times New Roman"/>
          <w:sz w:val="24"/>
          <w:szCs w:val="24"/>
        </w:rPr>
        <w:t xml:space="preserve">199 </w:t>
      </w:r>
      <w:r w:rsidRPr="0087032E">
        <w:rPr>
          <w:rFonts w:ascii="Times New Roman" w:hAnsi="Times New Roman" w:cs="Times New Roman"/>
          <w:sz w:val="24"/>
          <w:szCs w:val="24"/>
        </w:rPr>
        <w:t xml:space="preserve">questions </w:t>
      </w:r>
      <w:r w:rsidR="00E9798D" w:rsidRPr="0087032E">
        <w:rPr>
          <w:rFonts w:ascii="Times New Roman" w:hAnsi="Times New Roman" w:cs="Times New Roman"/>
          <w:sz w:val="24"/>
          <w:szCs w:val="24"/>
        </w:rPr>
        <w:t xml:space="preserve">from RFP participants seeking clarification of the provisions of the RFP Documents </w:t>
      </w:r>
      <w:r w:rsidRPr="0087032E">
        <w:rPr>
          <w:rFonts w:ascii="Times New Roman" w:hAnsi="Times New Roman" w:cs="Times New Roman"/>
          <w:sz w:val="24"/>
          <w:szCs w:val="24"/>
        </w:rPr>
        <w:t>through the Q&amp;A function of the IE Website</w:t>
      </w:r>
      <w:r w:rsidR="00E9798D" w:rsidRPr="0087032E">
        <w:rPr>
          <w:rFonts w:ascii="Times New Roman" w:hAnsi="Times New Roman" w:cs="Times New Roman"/>
          <w:sz w:val="24"/>
          <w:szCs w:val="24"/>
        </w:rPr>
        <w:t>.</w:t>
      </w:r>
      <w:r>
        <w:rPr>
          <w:rFonts w:ascii="Times New Roman" w:hAnsi="Times New Roman" w:cs="Times New Roman"/>
          <w:sz w:val="24"/>
          <w:szCs w:val="24"/>
        </w:rPr>
        <w:t xml:space="preserve"> Thereafter, on </w:t>
      </w:r>
      <w:r w:rsidR="000F0E06" w:rsidRPr="000F0E06">
        <w:rPr>
          <w:rFonts w:ascii="Times New Roman" w:hAnsi="Times New Roman" w:cs="Times New Roman"/>
          <w:sz w:val="24"/>
          <w:szCs w:val="24"/>
        </w:rPr>
        <w:t>December 1, 2023,</w:t>
      </w:r>
      <w:r w:rsidRPr="000F0E06">
        <w:rPr>
          <w:rFonts w:ascii="Times New Roman" w:hAnsi="Times New Roman" w:cs="Times New Roman"/>
          <w:sz w:val="24"/>
          <w:szCs w:val="24"/>
        </w:rPr>
        <w:t xml:space="preserve"> the Company</w:t>
      </w:r>
      <w:r>
        <w:rPr>
          <w:rFonts w:ascii="Times New Roman" w:hAnsi="Times New Roman" w:cs="Times New Roman"/>
          <w:sz w:val="24"/>
          <w:szCs w:val="24"/>
        </w:rPr>
        <w:t xml:space="preserve"> filed </w:t>
      </w:r>
      <w:r w:rsidRPr="00633104">
        <w:rPr>
          <w:rFonts w:ascii="Times New Roman" w:hAnsi="Times New Roman" w:cs="Times New Roman"/>
          <w:sz w:val="24"/>
          <w:szCs w:val="24"/>
        </w:rPr>
        <w:t xml:space="preserve">the </w:t>
      </w:r>
      <w:r w:rsidR="000F0E06" w:rsidRPr="00633104">
        <w:rPr>
          <w:rFonts w:ascii="Times New Roman" w:hAnsi="Times New Roman" w:cs="Times New Roman"/>
          <w:sz w:val="24"/>
          <w:szCs w:val="24"/>
        </w:rPr>
        <w:t>final</w:t>
      </w:r>
      <w:r w:rsidRPr="00633104">
        <w:rPr>
          <w:rFonts w:ascii="Times New Roman" w:hAnsi="Times New Roman" w:cs="Times New Roman"/>
          <w:sz w:val="24"/>
          <w:szCs w:val="24"/>
        </w:rPr>
        <w:t xml:space="preserve"> RFP Documents</w:t>
      </w:r>
      <w:r>
        <w:rPr>
          <w:rFonts w:ascii="Times New Roman" w:hAnsi="Times New Roman" w:cs="Times New Roman"/>
          <w:sz w:val="24"/>
          <w:szCs w:val="24"/>
        </w:rPr>
        <w:t xml:space="preserve">, </w:t>
      </w:r>
      <w:r w:rsidR="00220E3E">
        <w:rPr>
          <w:rFonts w:ascii="Times New Roman" w:hAnsi="Times New Roman" w:cs="Times New Roman"/>
          <w:sz w:val="24"/>
          <w:szCs w:val="24"/>
        </w:rPr>
        <w:t>appropriately</w:t>
      </w:r>
      <w:r>
        <w:rPr>
          <w:rFonts w:ascii="Times New Roman" w:hAnsi="Times New Roman" w:cs="Times New Roman"/>
          <w:sz w:val="24"/>
          <w:szCs w:val="24"/>
        </w:rPr>
        <w:t xml:space="preserve"> reflect</w:t>
      </w:r>
      <w:r w:rsidR="00220E3E">
        <w:rPr>
          <w:rFonts w:ascii="Times New Roman" w:hAnsi="Times New Roman" w:cs="Times New Roman"/>
          <w:sz w:val="24"/>
          <w:szCs w:val="24"/>
        </w:rPr>
        <w:t>ing</w:t>
      </w:r>
      <w:r>
        <w:rPr>
          <w:rFonts w:ascii="Times New Roman" w:hAnsi="Times New Roman" w:cs="Times New Roman"/>
          <w:sz w:val="24"/>
          <w:szCs w:val="24"/>
        </w:rPr>
        <w:t xml:space="preserve"> the feedback received from bidders and interested parties.</w:t>
      </w:r>
      <w:r w:rsidR="00CF3D8D">
        <w:rPr>
          <w:rFonts w:ascii="Times New Roman" w:hAnsi="Times New Roman" w:cs="Times New Roman"/>
          <w:sz w:val="24"/>
          <w:szCs w:val="24"/>
        </w:rPr>
        <w:t xml:space="preserve"> After filing the Final RFP Documents, the Company proposed </w:t>
      </w:r>
      <w:r w:rsidR="443A8B71" w:rsidRPr="062EDBBB">
        <w:rPr>
          <w:rFonts w:ascii="Times New Roman" w:hAnsi="Times New Roman" w:cs="Times New Roman"/>
          <w:sz w:val="24"/>
          <w:szCs w:val="24"/>
        </w:rPr>
        <w:t>several</w:t>
      </w:r>
      <w:r w:rsidR="00CF3D8D">
        <w:rPr>
          <w:rFonts w:ascii="Times New Roman" w:hAnsi="Times New Roman" w:cs="Times New Roman"/>
          <w:sz w:val="24"/>
          <w:szCs w:val="24"/>
        </w:rPr>
        <w:t xml:space="preserve"> additional </w:t>
      </w:r>
      <w:r w:rsidR="00993015">
        <w:rPr>
          <w:rFonts w:ascii="Times New Roman" w:hAnsi="Times New Roman" w:cs="Times New Roman"/>
          <w:sz w:val="24"/>
          <w:szCs w:val="24"/>
        </w:rPr>
        <w:t xml:space="preserve">modifications to clarify </w:t>
      </w:r>
      <w:r w:rsidR="11010843" w:rsidRPr="33586BFF">
        <w:rPr>
          <w:rFonts w:ascii="Times New Roman" w:hAnsi="Times New Roman" w:cs="Times New Roman"/>
          <w:sz w:val="24"/>
          <w:szCs w:val="24"/>
        </w:rPr>
        <w:t xml:space="preserve">(i) </w:t>
      </w:r>
      <w:r w:rsidR="00993015">
        <w:rPr>
          <w:rFonts w:ascii="Times New Roman" w:hAnsi="Times New Roman" w:cs="Times New Roman"/>
          <w:sz w:val="24"/>
          <w:szCs w:val="24"/>
        </w:rPr>
        <w:t xml:space="preserve">that a bidder with a suspended Southern Company Interconnection Agreement (“IA”) </w:t>
      </w:r>
      <w:r w:rsidR="2A922DE6" w:rsidRPr="062EDBBB">
        <w:rPr>
          <w:rFonts w:ascii="Times New Roman" w:hAnsi="Times New Roman" w:cs="Times New Roman"/>
          <w:sz w:val="24"/>
          <w:szCs w:val="24"/>
        </w:rPr>
        <w:t>must</w:t>
      </w:r>
      <w:r w:rsidR="00993015">
        <w:rPr>
          <w:rFonts w:ascii="Times New Roman" w:hAnsi="Times New Roman" w:cs="Times New Roman"/>
          <w:sz w:val="24"/>
          <w:szCs w:val="24"/>
        </w:rPr>
        <w:t xml:space="preserve"> move its IA out of </w:t>
      </w:r>
      <w:r w:rsidR="00993015">
        <w:rPr>
          <w:rFonts w:ascii="Times New Roman" w:hAnsi="Times New Roman" w:cs="Times New Roman"/>
          <w:sz w:val="24"/>
          <w:szCs w:val="24"/>
        </w:rPr>
        <w:lastRenderedPageBreak/>
        <w:t xml:space="preserve">suspension within seven days after Short List notification and </w:t>
      </w:r>
      <w:r w:rsidR="350AA89D" w:rsidRPr="33586BFF">
        <w:rPr>
          <w:rFonts w:ascii="Times New Roman" w:hAnsi="Times New Roman" w:cs="Times New Roman"/>
          <w:sz w:val="24"/>
          <w:szCs w:val="24"/>
        </w:rPr>
        <w:t>(ii)</w:t>
      </w:r>
      <w:r w:rsidR="00993015" w:rsidRPr="33586BFF">
        <w:rPr>
          <w:rFonts w:ascii="Times New Roman" w:hAnsi="Times New Roman" w:cs="Times New Roman"/>
          <w:sz w:val="24"/>
          <w:szCs w:val="24"/>
        </w:rPr>
        <w:t xml:space="preserve"> </w:t>
      </w:r>
      <w:r w:rsidR="00993015">
        <w:rPr>
          <w:rFonts w:ascii="Times New Roman" w:hAnsi="Times New Roman" w:cs="Times New Roman"/>
          <w:sz w:val="24"/>
          <w:szCs w:val="24"/>
        </w:rPr>
        <w:t>that the April 4, 2024</w:t>
      </w:r>
      <w:r w:rsidR="001803DA">
        <w:rPr>
          <w:rFonts w:ascii="Times New Roman" w:hAnsi="Times New Roman" w:cs="Times New Roman"/>
          <w:sz w:val="24"/>
          <w:szCs w:val="24"/>
        </w:rPr>
        <w:t>,</w:t>
      </w:r>
      <w:r w:rsidR="00993015">
        <w:rPr>
          <w:rFonts w:ascii="Times New Roman" w:hAnsi="Times New Roman" w:cs="Times New Roman"/>
          <w:sz w:val="24"/>
          <w:szCs w:val="24"/>
        </w:rPr>
        <w:t xml:space="preserve"> Interconnection Request Submittal Deadline was based on Southern Company’s timeframe and not </w:t>
      </w:r>
      <w:r w:rsidR="6CFDC8C4" w:rsidRPr="33586BFF">
        <w:rPr>
          <w:rFonts w:ascii="Times New Roman" w:hAnsi="Times New Roman" w:cs="Times New Roman"/>
          <w:sz w:val="24"/>
          <w:szCs w:val="24"/>
        </w:rPr>
        <w:t xml:space="preserve">that of </w:t>
      </w:r>
      <w:r w:rsidR="00993015">
        <w:rPr>
          <w:rFonts w:ascii="Times New Roman" w:hAnsi="Times New Roman" w:cs="Times New Roman"/>
          <w:sz w:val="24"/>
          <w:szCs w:val="24"/>
        </w:rPr>
        <w:t xml:space="preserve">a different Interconnection provider. In addition, the Company offered additional revisions to the RFP Documents to </w:t>
      </w:r>
      <w:r w:rsidR="00CF3D8D">
        <w:rPr>
          <w:rFonts w:ascii="Times New Roman" w:hAnsi="Times New Roman" w:cs="Times New Roman"/>
          <w:sz w:val="24"/>
          <w:szCs w:val="24"/>
        </w:rPr>
        <w:t>clarify that a facility located in a floodplain must obtain proper permits</w:t>
      </w:r>
      <w:r w:rsidR="00993015">
        <w:rPr>
          <w:rFonts w:ascii="Times New Roman" w:hAnsi="Times New Roman" w:cs="Times New Roman"/>
          <w:sz w:val="24"/>
          <w:szCs w:val="24"/>
        </w:rPr>
        <w:t xml:space="preserve">. </w:t>
      </w:r>
      <w:r w:rsidR="00CF3D8D">
        <w:rPr>
          <w:rFonts w:ascii="Times New Roman" w:hAnsi="Times New Roman" w:cs="Times New Roman"/>
          <w:sz w:val="24"/>
          <w:szCs w:val="24"/>
        </w:rPr>
        <w:t xml:space="preserve">The Commission approved the RFP Documents, as modified, on December </w:t>
      </w:r>
      <w:r w:rsidR="0046496E">
        <w:rPr>
          <w:rFonts w:ascii="Times New Roman" w:hAnsi="Times New Roman" w:cs="Times New Roman"/>
          <w:sz w:val="24"/>
          <w:szCs w:val="24"/>
        </w:rPr>
        <w:t>21</w:t>
      </w:r>
      <w:r w:rsidR="00CF3D8D">
        <w:rPr>
          <w:rFonts w:ascii="Times New Roman" w:hAnsi="Times New Roman" w:cs="Times New Roman"/>
          <w:sz w:val="24"/>
          <w:szCs w:val="24"/>
        </w:rPr>
        <w:t>, 2023.</w:t>
      </w:r>
      <w:r w:rsidR="00A3241D">
        <w:rPr>
          <w:rFonts w:ascii="Times New Roman" w:hAnsi="Times New Roman" w:cs="Times New Roman"/>
          <w:sz w:val="24"/>
          <w:szCs w:val="24"/>
        </w:rPr>
        <w:t xml:space="preserve"> </w:t>
      </w:r>
      <w:r w:rsidR="00C7469C">
        <w:rPr>
          <w:rFonts w:ascii="Times New Roman" w:hAnsi="Times New Roman" w:cs="Times New Roman"/>
          <w:sz w:val="24"/>
          <w:szCs w:val="24"/>
        </w:rPr>
        <w:t>Georgia Power</w:t>
      </w:r>
      <w:r w:rsidR="1BFABC16" w:rsidRPr="33586BFF">
        <w:rPr>
          <w:rFonts w:ascii="Times New Roman" w:hAnsi="Times New Roman" w:cs="Times New Roman"/>
          <w:sz w:val="24"/>
          <w:szCs w:val="24"/>
        </w:rPr>
        <w:t xml:space="preserve"> then</w:t>
      </w:r>
      <w:r w:rsidR="00C7469C">
        <w:rPr>
          <w:rFonts w:ascii="Times New Roman" w:hAnsi="Times New Roman" w:cs="Times New Roman"/>
          <w:sz w:val="24"/>
          <w:szCs w:val="24"/>
        </w:rPr>
        <w:t xml:space="preserve"> issued the CARES 2023 US RFP on </w:t>
      </w:r>
      <w:r w:rsidR="005A7253">
        <w:rPr>
          <w:rFonts w:ascii="Times New Roman" w:hAnsi="Times New Roman" w:cs="Times New Roman"/>
          <w:sz w:val="24"/>
          <w:szCs w:val="24"/>
        </w:rPr>
        <w:t>December 22, 2023</w:t>
      </w:r>
      <w:r w:rsidR="001803DA">
        <w:rPr>
          <w:rFonts w:ascii="Times New Roman" w:hAnsi="Times New Roman" w:cs="Times New Roman"/>
          <w:sz w:val="24"/>
          <w:szCs w:val="24"/>
        </w:rPr>
        <w:t>,</w:t>
      </w:r>
      <w:r w:rsidR="00C7469C">
        <w:rPr>
          <w:rFonts w:ascii="Times New Roman" w:hAnsi="Times New Roman" w:cs="Times New Roman"/>
          <w:sz w:val="24"/>
          <w:szCs w:val="24"/>
        </w:rPr>
        <w:t xml:space="preserve"> and required all bids </w:t>
      </w:r>
      <w:r w:rsidR="22E48556" w:rsidRPr="33586BFF">
        <w:rPr>
          <w:rFonts w:ascii="Times New Roman" w:hAnsi="Times New Roman" w:cs="Times New Roman"/>
          <w:sz w:val="24"/>
          <w:szCs w:val="24"/>
        </w:rPr>
        <w:t xml:space="preserve">to </w:t>
      </w:r>
      <w:r w:rsidR="00C7469C">
        <w:rPr>
          <w:rFonts w:ascii="Times New Roman" w:hAnsi="Times New Roman" w:cs="Times New Roman"/>
          <w:sz w:val="24"/>
          <w:szCs w:val="24"/>
        </w:rPr>
        <w:t xml:space="preserve">be submitted by February 12, 2024. </w:t>
      </w:r>
    </w:p>
    <w:p w14:paraId="327C4A5F" w14:textId="77777777" w:rsidR="00B10A3E" w:rsidRDefault="00580390" w:rsidP="008C5335">
      <w:pPr>
        <w:pStyle w:val="Heading1"/>
        <w:keepNext/>
        <w:keepLines/>
        <w:tabs>
          <w:tab w:val="clear" w:pos="360"/>
          <w:tab w:val="num" w:pos="720"/>
        </w:tabs>
        <w:spacing w:before="120" w:after="120" w:line="360" w:lineRule="auto"/>
        <w:ind w:left="720" w:hanging="720"/>
      </w:pPr>
      <w:bookmarkStart w:id="11" w:name="_Toc191504501"/>
      <w:r>
        <w:t>Bid Evaluation</w:t>
      </w:r>
      <w:bookmarkEnd w:id="11"/>
    </w:p>
    <w:p w14:paraId="653DFDBE" w14:textId="208D4245" w:rsidR="00B10A3E" w:rsidRDefault="00580390" w:rsidP="008C5335">
      <w:pPr>
        <w:pStyle w:val="BalloonText"/>
        <w:keepNext/>
        <w:keepLines/>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G</w:t>
      </w:r>
      <w:r w:rsidRPr="0046496E">
        <w:rPr>
          <w:rFonts w:ascii="Times New Roman" w:hAnsi="Times New Roman" w:cs="Times New Roman"/>
          <w:sz w:val="24"/>
          <w:szCs w:val="24"/>
        </w:rPr>
        <w:t xml:space="preserve">eorgia Power accepted bids through the IE Website from qualified bidders from </w:t>
      </w:r>
      <w:r w:rsidR="00C9292B" w:rsidRPr="0046496E">
        <w:rPr>
          <w:rFonts w:ascii="Times New Roman" w:hAnsi="Times New Roman" w:cs="Times New Roman"/>
          <w:sz w:val="24"/>
          <w:szCs w:val="24"/>
        </w:rPr>
        <w:t>January</w:t>
      </w:r>
      <w:r w:rsidR="004327D9" w:rsidRPr="0046496E">
        <w:rPr>
          <w:rFonts w:ascii="Times New Roman" w:hAnsi="Times New Roman" w:cs="Times New Roman"/>
          <w:sz w:val="24"/>
          <w:szCs w:val="24"/>
        </w:rPr>
        <w:t xml:space="preserve"> 1</w:t>
      </w:r>
      <w:r w:rsidR="00C9292B" w:rsidRPr="0046496E">
        <w:rPr>
          <w:rFonts w:ascii="Times New Roman" w:hAnsi="Times New Roman" w:cs="Times New Roman"/>
          <w:sz w:val="24"/>
          <w:szCs w:val="24"/>
        </w:rPr>
        <w:t>8</w:t>
      </w:r>
      <w:r w:rsidR="004327D9" w:rsidRPr="0046496E">
        <w:rPr>
          <w:rFonts w:ascii="Times New Roman" w:hAnsi="Times New Roman" w:cs="Times New Roman"/>
          <w:sz w:val="24"/>
          <w:szCs w:val="24"/>
        </w:rPr>
        <w:t>, 202</w:t>
      </w:r>
      <w:r w:rsidR="00C9292B" w:rsidRPr="0046496E">
        <w:rPr>
          <w:rFonts w:ascii="Times New Roman" w:hAnsi="Times New Roman" w:cs="Times New Roman"/>
          <w:sz w:val="24"/>
          <w:szCs w:val="24"/>
        </w:rPr>
        <w:t>4</w:t>
      </w:r>
      <w:r w:rsidR="00301864" w:rsidRPr="0046496E">
        <w:rPr>
          <w:rFonts w:ascii="Times New Roman" w:hAnsi="Times New Roman" w:cs="Times New Roman"/>
          <w:sz w:val="24"/>
          <w:szCs w:val="24"/>
        </w:rPr>
        <w:t>,</w:t>
      </w:r>
      <w:r w:rsidRPr="0046496E">
        <w:rPr>
          <w:rFonts w:ascii="Times New Roman" w:hAnsi="Times New Roman" w:cs="Times New Roman"/>
          <w:sz w:val="24"/>
          <w:szCs w:val="24"/>
        </w:rPr>
        <w:t xml:space="preserve"> through </w:t>
      </w:r>
      <w:r w:rsidR="00301864" w:rsidRPr="0046496E">
        <w:rPr>
          <w:rFonts w:ascii="Times New Roman" w:hAnsi="Times New Roman" w:cs="Times New Roman"/>
          <w:sz w:val="24"/>
          <w:szCs w:val="24"/>
        </w:rPr>
        <w:t>February</w:t>
      </w:r>
      <w:r w:rsidR="004327D9" w:rsidRPr="0046496E">
        <w:rPr>
          <w:rFonts w:ascii="Times New Roman" w:hAnsi="Times New Roman" w:cs="Times New Roman"/>
          <w:sz w:val="24"/>
          <w:szCs w:val="24"/>
        </w:rPr>
        <w:t xml:space="preserve"> </w:t>
      </w:r>
      <w:r w:rsidR="00301864" w:rsidRPr="0046496E">
        <w:rPr>
          <w:rFonts w:ascii="Times New Roman" w:hAnsi="Times New Roman" w:cs="Times New Roman"/>
          <w:sz w:val="24"/>
          <w:szCs w:val="24"/>
        </w:rPr>
        <w:t>12</w:t>
      </w:r>
      <w:r w:rsidR="004327D9" w:rsidRPr="0046496E">
        <w:rPr>
          <w:rFonts w:ascii="Times New Roman" w:hAnsi="Times New Roman" w:cs="Times New Roman"/>
          <w:sz w:val="24"/>
          <w:szCs w:val="24"/>
        </w:rPr>
        <w:t>, 202</w:t>
      </w:r>
      <w:r w:rsidR="00301864" w:rsidRPr="0046496E">
        <w:rPr>
          <w:rFonts w:ascii="Times New Roman" w:hAnsi="Times New Roman" w:cs="Times New Roman"/>
          <w:sz w:val="24"/>
          <w:szCs w:val="24"/>
        </w:rPr>
        <w:t>4</w:t>
      </w:r>
      <w:r w:rsidRPr="0046496E">
        <w:rPr>
          <w:rFonts w:ascii="Times New Roman" w:hAnsi="Times New Roman" w:cs="Times New Roman"/>
          <w:sz w:val="24"/>
          <w:szCs w:val="24"/>
        </w:rPr>
        <w:t xml:space="preserve">. </w:t>
      </w:r>
      <w:bookmarkStart w:id="12" w:name="_Hlk496856451"/>
      <w:r w:rsidRPr="0046496E">
        <w:rPr>
          <w:rFonts w:ascii="Times New Roman" w:hAnsi="Times New Roman" w:cs="Times New Roman"/>
          <w:sz w:val="24"/>
          <w:szCs w:val="24"/>
        </w:rPr>
        <w:t xml:space="preserve">The Company received offers for almost </w:t>
      </w:r>
      <w:r w:rsidR="00CB228C" w:rsidRPr="0046496E">
        <w:rPr>
          <w:rFonts w:ascii="Times New Roman" w:hAnsi="Times New Roman" w:cs="Times New Roman"/>
          <w:sz w:val="24"/>
          <w:szCs w:val="24"/>
        </w:rPr>
        <w:t>6</w:t>
      </w:r>
      <w:r w:rsidR="0046496E" w:rsidRPr="0046496E">
        <w:rPr>
          <w:rFonts w:ascii="Times New Roman" w:hAnsi="Times New Roman" w:cs="Times New Roman"/>
          <w:sz w:val="24"/>
          <w:szCs w:val="24"/>
        </w:rPr>
        <w:t>,</w:t>
      </w:r>
      <w:r w:rsidR="00CB228C" w:rsidRPr="0046496E">
        <w:rPr>
          <w:rFonts w:ascii="Times New Roman" w:hAnsi="Times New Roman" w:cs="Times New Roman"/>
          <w:sz w:val="24"/>
          <w:szCs w:val="24"/>
        </w:rPr>
        <w:t xml:space="preserve">400 </w:t>
      </w:r>
      <w:r w:rsidRPr="0046496E">
        <w:rPr>
          <w:rFonts w:ascii="Times New Roman" w:hAnsi="Times New Roman" w:cs="Times New Roman"/>
          <w:sz w:val="24"/>
          <w:szCs w:val="24"/>
        </w:rPr>
        <w:t xml:space="preserve">MW through </w:t>
      </w:r>
      <w:r w:rsidR="00A348A9" w:rsidRPr="0046496E">
        <w:rPr>
          <w:rFonts w:ascii="Times New Roman" w:hAnsi="Times New Roman" w:cs="Times New Roman"/>
          <w:sz w:val="24"/>
          <w:szCs w:val="24"/>
        </w:rPr>
        <w:t xml:space="preserve">79 </w:t>
      </w:r>
      <w:r w:rsidRPr="0046496E">
        <w:rPr>
          <w:rFonts w:ascii="Times New Roman" w:hAnsi="Times New Roman" w:cs="Times New Roman"/>
          <w:sz w:val="24"/>
          <w:szCs w:val="24"/>
        </w:rPr>
        <w:t>proposals from</w:t>
      </w:r>
      <w:r w:rsidR="004327D9" w:rsidRPr="0046496E">
        <w:rPr>
          <w:rFonts w:ascii="Times New Roman" w:hAnsi="Times New Roman" w:cs="Times New Roman"/>
          <w:sz w:val="24"/>
          <w:szCs w:val="24"/>
        </w:rPr>
        <w:t xml:space="preserve"> </w:t>
      </w:r>
      <w:r w:rsidR="00A348A9" w:rsidRPr="0046496E">
        <w:rPr>
          <w:rFonts w:ascii="Times New Roman" w:hAnsi="Times New Roman" w:cs="Times New Roman"/>
          <w:sz w:val="24"/>
          <w:szCs w:val="24"/>
        </w:rPr>
        <w:t xml:space="preserve">29 </w:t>
      </w:r>
      <w:r w:rsidRPr="0046496E">
        <w:rPr>
          <w:rFonts w:ascii="Times New Roman" w:hAnsi="Times New Roman" w:cs="Times New Roman"/>
          <w:sz w:val="24"/>
          <w:szCs w:val="24"/>
        </w:rPr>
        <w:t>unique bidders.</w:t>
      </w:r>
      <w:bookmarkEnd w:id="12"/>
    </w:p>
    <w:p w14:paraId="163C5D0F" w14:textId="470AE9FA" w:rsidR="00B10A3E" w:rsidRDefault="00580390" w:rsidP="00AC4DE6">
      <w:pPr>
        <w:pStyle w:val="BalloonText"/>
        <w:spacing w:before="240" w:after="24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Proposals submitted for consideration in the RFP were reviewed and evaluated against each other </w:t>
      </w:r>
      <w:r w:rsidR="00F03669">
        <w:rPr>
          <w:rFonts w:ascii="Times New Roman" w:hAnsi="Times New Roman" w:cs="Times New Roman"/>
          <w:sz w:val="24"/>
          <w:szCs w:val="24"/>
        </w:rPr>
        <w:t xml:space="preserve">and to the Company’s avoided cost </w:t>
      </w:r>
      <w:r w:rsidR="0046496E">
        <w:rPr>
          <w:rFonts w:ascii="Times New Roman" w:hAnsi="Times New Roman" w:cs="Times New Roman"/>
          <w:sz w:val="24"/>
          <w:szCs w:val="24"/>
        </w:rPr>
        <w:t>projections</w:t>
      </w:r>
      <w:r>
        <w:rPr>
          <w:rFonts w:ascii="Times New Roman" w:hAnsi="Times New Roman" w:cs="Times New Roman"/>
          <w:sz w:val="24"/>
          <w:szCs w:val="24"/>
        </w:rPr>
        <w:t xml:space="preserve">, and the evaluation results were confirmed and approved by the IE and the Commission Staff. First, the Company evaluated bids based on each bid’s projected avoided cost benefits compared to its bid price and ranked them based on the </w:t>
      </w:r>
      <w:r w:rsidR="00B457CB">
        <w:rPr>
          <w:rFonts w:ascii="Times New Roman" w:hAnsi="Times New Roman" w:cs="Times New Roman"/>
          <w:sz w:val="24"/>
          <w:szCs w:val="24"/>
        </w:rPr>
        <w:t>levelized</w:t>
      </w:r>
      <w:r>
        <w:rPr>
          <w:rFonts w:ascii="Times New Roman" w:hAnsi="Times New Roman" w:cs="Times New Roman"/>
          <w:sz w:val="24"/>
          <w:szCs w:val="24"/>
        </w:rPr>
        <w:t xml:space="preserve"> net benefits to Georgia Power’s customers. From this ranking, Georgia Power selected the Competitive Tier, </w:t>
      </w:r>
      <w:r w:rsidR="20A787FB" w:rsidRPr="0FEC0ECB">
        <w:rPr>
          <w:rFonts w:ascii="Times New Roman" w:hAnsi="Times New Roman" w:cs="Times New Roman"/>
          <w:sz w:val="24"/>
          <w:szCs w:val="24"/>
        </w:rPr>
        <w:t xml:space="preserve">which was </w:t>
      </w:r>
      <w:r>
        <w:rPr>
          <w:rFonts w:ascii="Times New Roman" w:hAnsi="Times New Roman" w:cs="Times New Roman"/>
          <w:sz w:val="24"/>
          <w:szCs w:val="24"/>
        </w:rPr>
        <w:t>comprised of bids</w:t>
      </w:r>
      <w:r w:rsidR="00E70307">
        <w:rPr>
          <w:rFonts w:ascii="Times New Roman" w:hAnsi="Times New Roman" w:cs="Times New Roman"/>
          <w:sz w:val="24"/>
          <w:szCs w:val="24"/>
        </w:rPr>
        <w:t xml:space="preserve"> </w:t>
      </w:r>
      <w:r w:rsidR="007A4281">
        <w:rPr>
          <w:rFonts w:ascii="Times New Roman" w:hAnsi="Times New Roman" w:cs="Times New Roman"/>
          <w:sz w:val="24"/>
          <w:szCs w:val="24"/>
        </w:rPr>
        <w:t xml:space="preserve">in excess of the </w:t>
      </w:r>
      <w:r>
        <w:rPr>
          <w:rFonts w:ascii="Times New Roman" w:hAnsi="Times New Roman" w:cs="Times New Roman"/>
          <w:sz w:val="24"/>
          <w:szCs w:val="24"/>
        </w:rPr>
        <w:t>MW</w:t>
      </w:r>
      <w:r w:rsidR="00786E0A">
        <w:rPr>
          <w:rFonts w:ascii="Times New Roman" w:hAnsi="Times New Roman" w:cs="Times New Roman"/>
          <w:sz w:val="24"/>
          <w:szCs w:val="24"/>
        </w:rPr>
        <w:t xml:space="preserve"> portfolio</w:t>
      </w:r>
      <w:r>
        <w:rPr>
          <w:rFonts w:ascii="Times New Roman" w:hAnsi="Times New Roman" w:cs="Times New Roman"/>
          <w:sz w:val="24"/>
          <w:szCs w:val="24"/>
        </w:rPr>
        <w:t xml:space="preserve"> </w:t>
      </w:r>
      <w:r w:rsidR="3AD97D41" w:rsidRPr="607B15AF">
        <w:rPr>
          <w:rFonts w:ascii="Times New Roman" w:hAnsi="Times New Roman" w:cs="Times New Roman"/>
          <w:sz w:val="24"/>
          <w:szCs w:val="24"/>
        </w:rPr>
        <w:t>sought</w:t>
      </w:r>
      <w:r>
        <w:rPr>
          <w:rFonts w:ascii="Times New Roman" w:hAnsi="Times New Roman" w:cs="Times New Roman"/>
          <w:sz w:val="24"/>
          <w:szCs w:val="24"/>
        </w:rPr>
        <w:t xml:space="preserve"> to ensure </w:t>
      </w:r>
      <w:r w:rsidR="008C5335">
        <w:rPr>
          <w:rFonts w:ascii="Times New Roman" w:hAnsi="Times New Roman" w:cs="Times New Roman"/>
          <w:sz w:val="24"/>
          <w:szCs w:val="24"/>
        </w:rPr>
        <w:t>a sufficient number of projects remained under evaluation</w:t>
      </w:r>
      <w:r>
        <w:rPr>
          <w:rFonts w:ascii="Times New Roman" w:hAnsi="Times New Roman" w:cs="Times New Roman"/>
          <w:sz w:val="24"/>
          <w:szCs w:val="24"/>
        </w:rPr>
        <w:t xml:space="preserve"> after subsequent transmission evaluation and re-ranking. </w:t>
      </w:r>
    </w:p>
    <w:p w14:paraId="005A7F10" w14:textId="7646FD36" w:rsidR="00A3241D" w:rsidRPr="00832763" w:rsidRDefault="00A3241D" w:rsidP="00A3241D">
      <w:pPr>
        <w:pStyle w:val="BalloonText"/>
        <w:spacing w:after="240" w:line="360" w:lineRule="auto"/>
        <w:ind w:firstLine="720"/>
        <w:jc w:val="both"/>
        <w:rPr>
          <w:rFonts w:ascii="Times New Roman" w:hAnsi="Times New Roman" w:cs="Times New Roman"/>
          <w:sz w:val="24"/>
          <w:szCs w:val="24"/>
        </w:rPr>
      </w:pPr>
      <w:r>
        <w:rPr>
          <w:rFonts w:ascii="Times New Roman" w:hAnsi="Times New Roman" w:cs="Times New Roman"/>
          <w:sz w:val="24"/>
          <w:szCs w:val="24"/>
        </w:rPr>
        <w:t>On May 23, 2024, Georgia Power filed a letter with the Commission addressing the Company’s proposed response to U.S. tariffs imposed on imported Chinese solar cells and modules and imported Chinese lithium-</w:t>
      </w:r>
      <w:r w:rsidRPr="00A3241D">
        <w:rPr>
          <w:rFonts w:ascii="Times New Roman" w:hAnsi="Times New Roman" w:cs="Times New Roman"/>
          <w:sz w:val="24"/>
          <w:szCs w:val="24"/>
        </w:rPr>
        <w:t xml:space="preserve">ion non-EV batteries. Given the potential impact of reinstated solar tariffs, the Company requested </w:t>
      </w:r>
      <w:r w:rsidRPr="001C47F4">
        <w:rPr>
          <w:rFonts w:ascii="Times New Roman" w:hAnsi="Times New Roman" w:cs="Times New Roman"/>
          <w:sz w:val="24"/>
          <w:szCs w:val="24"/>
        </w:rPr>
        <w:t xml:space="preserve">a rule waiver </w:t>
      </w:r>
      <w:r w:rsidRPr="00A3241D">
        <w:rPr>
          <w:rFonts w:ascii="Times New Roman" w:hAnsi="Times New Roman" w:cs="Times New Roman"/>
          <w:sz w:val="24"/>
          <w:szCs w:val="24"/>
        </w:rPr>
        <w:t xml:space="preserve">to modify the CARES 2023 US RFP to implement a limited bid refresh process prior to determining the Short List. The proposed refresh process permitted </w:t>
      </w:r>
      <w:r w:rsidR="002E770D">
        <w:rPr>
          <w:rFonts w:ascii="Times New Roman" w:hAnsi="Times New Roman" w:cs="Times New Roman"/>
          <w:sz w:val="24"/>
          <w:szCs w:val="24"/>
        </w:rPr>
        <w:t>C</w:t>
      </w:r>
      <w:r w:rsidRPr="00A3241D">
        <w:rPr>
          <w:rFonts w:ascii="Times New Roman" w:hAnsi="Times New Roman" w:cs="Times New Roman"/>
          <w:sz w:val="24"/>
          <w:szCs w:val="24"/>
        </w:rPr>
        <w:t xml:space="preserve">ompetitive </w:t>
      </w:r>
      <w:r w:rsidR="002E770D">
        <w:rPr>
          <w:rFonts w:ascii="Times New Roman" w:hAnsi="Times New Roman" w:cs="Times New Roman"/>
          <w:sz w:val="24"/>
          <w:szCs w:val="24"/>
        </w:rPr>
        <w:t>T</w:t>
      </w:r>
      <w:r w:rsidRPr="00A3241D">
        <w:rPr>
          <w:rFonts w:ascii="Times New Roman" w:hAnsi="Times New Roman" w:cs="Times New Roman"/>
          <w:sz w:val="24"/>
          <w:szCs w:val="24"/>
        </w:rPr>
        <w:t>ier bidders who paid Bid Security to (i) extend the commercial operation date (“COD”) of the proposed facility up to November 30, 2029, (ii) modify the bid price, or (iii)</w:t>
      </w:r>
      <w:r w:rsidR="0046496E">
        <w:rPr>
          <w:rFonts w:ascii="Times New Roman" w:hAnsi="Times New Roman" w:cs="Times New Roman"/>
          <w:sz w:val="24"/>
          <w:szCs w:val="24"/>
        </w:rPr>
        <w:t> </w:t>
      </w:r>
      <w:r w:rsidRPr="00A3241D">
        <w:rPr>
          <w:rFonts w:ascii="Times New Roman" w:hAnsi="Times New Roman" w:cs="Times New Roman"/>
          <w:sz w:val="24"/>
          <w:szCs w:val="24"/>
        </w:rPr>
        <w:t>both. In addition, to address heightened reliability risk associated with</w:t>
      </w:r>
      <w:r w:rsidRPr="00832763">
        <w:rPr>
          <w:rFonts w:ascii="Times New Roman" w:hAnsi="Times New Roman" w:cs="Times New Roman"/>
          <w:sz w:val="24"/>
          <w:szCs w:val="24"/>
        </w:rPr>
        <w:t xml:space="preserve"> including certain foreign-made battery components within projects connected to the Georgia Power electric system, the Company sought </w:t>
      </w:r>
      <w:r w:rsidR="009428D5">
        <w:rPr>
          <w:rFonts w:ascii="Times New Roman" w:hAnsi="Times New Roman" w:cs="Times New Roman"/>
          <w:sz w:val="24"/>
          <w:szCs w:val="24"/>
        </w:rPr>
        <w:t xml:space="preserve">to </w:t>
      </w:r>
      <w:r w:rsidRPr="00832763">
        <w:rPr>
          <w:rFonts w:ascii="Times New Roman" w:hAnsi="Times New Roman" w:cs="Times New Roman"/>
          <w:sz w:val="24"/>
          <w:szCs w:val="24"/>
        </w:rPr>
        <w:t xml:space="preserve">modify the Battery Energy Storage System </w:t>
      </w:r>
      <w:r w:rsidR="00923365">
        <w:rPr>
          <w:rFonts w:ascii="Times New Roman" w:hAnsi="Times New Roman" w:cs="Times New Roman"/>
          <w:sz w:val="24"/>
          <w:szCs w:val="24"/>
        </w:rPr>
        <w:t xml:space="preserve">(“BESS”) </w:t>
      </w:r>
      <w:r w:rsidRPr="00832763">
        <w:rPr>
          <w:rFonts w:ascii="Times New Roman" w:hAnsi="Times New Roman" w:cs="Times New Roman"/>
          <w:sz w:val="24"/>
          <w:szCs w:val="24"/>
        </w:rPr>
        <w:t xml:space="preserve">requirements within </w:t>
      </w:r>
      <w:r w:rsidRPr="00832763">
        <w:rPr>
          <w:rFonts w:ascii="Times New Roman" w:hAnsi="Times New Roman" w:cs="Times New Roman"/>
          <w:sz w:val="24"/>
          <w:szCs w:val="24"/>
        </w:rPr>
        <w:lastRenderedPageBreak/>
        <w:t>the applicable pro forma contracts to limit the source countries of certain BESS components. The Commission approved the Company’s Request on June 13, 2024.</w:t>
      </w:r>
    </w:p>
    <w:p w14:paraId="2AC9414F" w14:textId="77777777" w:rsidR="00A3241D" w:rsidRDefault="00A3241D" w:rsidP="00B622DC">
      <w:pPr>
        <w:autoSpaceDE w:val="0"/>
        <w:autoSpaceDN w:val="0"/>
        <w:adjustRightInd w:val="0"/>
        <w:spacing w:after="240" w:line="360" w:lineRule="auto"/>
        <w:ind w:firstLine="720"/>
        <w:jc w:val="both"/>
        <w:rPr>
          <w:sz w:val="24"/>
          <w:szCs w:val="24"/>
        </w:rPr>
      </w:pPr>
      <w:r>
        <w:rPr>
          <w:sz w:val="24"/>
          <w:szCs w:val="24"/>
        </w:rPr>
        <w:t>On June 21, 2024, Southern Environmental Law Center (“</w:t>
      </w:r>
      <w:proofErr w:type="spellStart"/>
      <w:r>
        <w:rPr>
          <w:sz w:val="24"/>
          <w:szCs w:val="24"/>
        </w:rPr>
        <w:t>SELC</w:t>
      </w:r>
      <w:proofErr w:type="spellEnd"/>
      <w:r>
        <w:rPr>
          <w:sz w:val="24"/>
          <w:szCs w:val="24"/>
        </w:rPr>
        <w:t xml:space="preserve">”) filed a Motion for Reconsideration of the limitations on battery sourcing from specific </w:t>
      </w:r>
      <w:r w:rsidRPr="00941E0F">
        <w:rPr>
          <w:sz w:val="24"/>
          <w:szCs w:val="24"/>
        </w:rPr>
        <w:t>countries. After significant discussion,</w:t>
      </w:r>
      <w:r>
        <w:rPr>
          <w:sz w:val="24"/>
          <w:szCs w:val="24"/>
        </w:rPr>
        <w:t xml:space="preserve"> on August 21, 2024,</w:t>
      </w:r>
      <w:r w:rsidRPr="00941E0F">
        <w:rPr>
          <w:sz w:val="24"/>
          <w:szCs w:val="24"/>
        </w:rPr>
        <w:t xml:space="preserve"> the Commission granted </w:t>
      </w:r>
      <w:proofErr w:type="spellStart"/>
      <w:r w:rsidRPr="00941E0F">
        <w:rPr>
          <w:sz w:val="24"/>
          <w:szCs w:val="24"/>
        </w:rPr>
        <w:t>SELC’s</w:t>
      </w:r>
      <w:proofErr w:type="spellEnd"/>
      <w:r w:rsidRPr="00941E0F">
        <w:rPr>
          <w:sz w:val="24"/>
          <w:szCs w:val="24"/>
        </w:rPr>
        <w:t xml:space="preserve"> motion and removed the Netherlands as </w:t>
      </w:r>
      <w:r w:rsidRPr="00832763">
        <w:rPr>
          <w:sz w:val="24"/>
          <w:szCs w:val="24"/>
        </w:rPr>
        <w:t>a prohibited country for the sourcing or manufacturing of battery management systems, base controllers, and site controllers for equipment bid into the CARES</w:t>
      </w:r>
      <w:r>
        <w:rPr>
          <w:sz w:val="24"/>
          <w:szCs w:val="24"/>
        </w:rPr>
        <w:t xml:space="preserve"> 2023 US RFP (and all other active and future RFPs)</w:t>
      </w:r>
      <w:r w:rsidRPr="00832763">
        <w:rPr>
          <w:sz w:val="24"/>
          <w:szCs w:val="24"/>
        </w:rPr>
        <w:t>.</w:t>
      </w:r>
      <w:r>
        <w:rPr>
          <w:sz w:val="24"/>
          <w:szCs w:val="24"/>
        </w:rPr>
        <w:t xml:space="preserve"> Georgia Power was directed to monitor federal guidelines and alert the Commission if the Netherlands or any other country is added to the Foreign Entities of Concern as defined in 42 U.S.C. § 18741(5). Finally, the Commission ordered that if any terrorist action, cyber security, or mechanical failure as a result of sourcing equipment from the Netherlands, that the supplier of the material or part will be responsible for any and all cost to Georgia Power and its customers. On August 28, 2024, the Company filed revised RFP Documents to implement the Commission’s August 21, </w:t>
      </w:r>
      <w:proofErr w:type="gramStart"/>
      <w:r>
        <w:rPr>
          <w:sz w:val="24"/>
          <w:szCs w:val="24"/>
        </w:rPr>
        <w:t>2024</w:t>
      </w:r>
      <w:proofErr w:type="gramEnd"/>
      <w:r>
        <w:rPr>
          <w:sz w:val="24"/>
          <w:szCs w:val="24"/>
        </w:rPr>
        <w:t xml:space="preserve"> Order. The Commission approved the Company’s compliance filing with minor modification on September 24, 2024.</w:t>
      </w:r>
    </w:p>
    <w:p w14:paraId="05DB4BE5" w14:textId="23C40F6A" w:rsidR="00A3241D" w:rsidRDefault="00A3241D" w:rsidP="00B622DC">
      <w:pPr>
        <w:autoSpaceDE w:val="0"/>
        <w:autoSpaceDN w:val="0"/>
        <w:adjustRightInd w:val="0"/>
        <w:spacing w:after="240" w:line="360" w:lineRule="auto"/>
        <w:ind w:firstLine="720"/>
        <w:jc w:val="both"/>
        <w:rPr>
          <w:sz w:val="24"/>
          <w:szCs w:val="24"/>
        </w:rPr>
      </w:pPr>
      <w:r>
        <w:rPr>
          <w:sz w:val="24"/>
          <w:szCs w:val="24"/>
        </w:rPr>
        <w:t xml:space="preserve">During the evaluation of </w:t>
      </w:r>
      <w:r w:rsidR="00E22C5D">
        <w:rPr>
          <w:sz w:val="24"/>
          <w:szCs w:val="24"/>
        </w:rPr>
        <w:t>C</w:t>
      </w:r>
      <w:r>
        <w:rPr>
          <w:sz w:val="24"/>
          <w:szCs w:val="24"/>
        </w:rPr>
        <w:t xml:space="preserve">ompetitive </w:t>
      </w:r>
      <w:r w:rsidR="00E22C5D">
        <w:rPr>
          <w:sz w:val="24"/>
          <w:szCs w:val="24"/>
        </w:rPr>
        <w:t>T</w:t>
      </w:r>
      <w:r>
        <w:rPr>
          <w:sz w:val="24"/>
          <w:szCs w:val="24"/>
        </w:rPr>
        <w:t xml:space="preserve">ier bids for the CARES 2023 US RFP, Georgia Power identified several long-lead time transmission projects required to provide firm transmission service to most of the proposed facilities by the expected commercial operation dates. To avoid eliminating potentially viable bids, Georgia Power, in consultation with the Commission Staff and IE, extended the date to determine the Short List for the CARES 2023 US RFP for several months to thoroughly investigate alternative solutions to preserve a majority of the </w:t>
      </w:r>
      <w:r w:rsidR="00A677FB">
        <w:rPr>
          <w:sz w:val="24"/>
          <w:szCs w:val="24"/>
        </w:rPr>
        <w:t>C</w:t>
      </w:r>
      <w:r>
        <w:rPr>
          <w:sz w:val="24"/>
          <w:szCs w:val="24"/>
        </w:rPr>
        <w:t xml:space="preserve">ompetitive </w:t>
      </w:r>
      <w:r w:rsidR="00A677FB">
        <w:rPr>
          <w:sz w:val="24"/>
          <w:szCs w:val="24"/>
        </w:rPr>
        <w:t>T</w:t>
      </w:r>
      <w:r>
        <w:rPr>
          <w:sz w:val="24"/>
          <w:szCs w:val="24"/>
        </w:rPr>
        <w:t xml:space="preserve">ier bids for further evaluation. </w:t>
      </w:r>
      <w:r w:rsidRPr="008B1E5A">
        <w:rPr>
          <w:sz w:val="24"/>
          <w:szCs w:val="24"/>
          <w:lang w:val="x-none"/>
        </w:rPr>
        <w:t>To bridge the gap between commercial operation of the proposed facilities and the completion of the network upgrades required for firm transmission service,</w:t>
      </w:r>
      <w:r>
        <w:rPr>
          <w:sz w:val="24"/>
          <w:szCs w:val="24"/>
          <w:lang w:val="x-none"/>
        </w:rPr>
        <w:t xml:space="preserve"> </w:t>
      </w:r>
      <w:r w:rsidRPr="008B1E5A">
        <w:rPr>
          <w:sz w:val="24"/>
          <w:szCs w:val="24"/>
          <w:lang w:val="x-none"/>
        </w:rPr>
        <w:t>the Company propos</w:t>
      </w:r>
      <w:r>
        <w:rPr>
          <w:sz w:val="24"/>
          <w:szCs w:val="24"/>
          <w:lang w:val="x-none"/>
        </w:rPr>
        <w:t>ed to incorporate</w:t>
      </w:r>
      <w:r w:rsidRPr="008B1E5A">
        <w:rPr>
          <w:sz w:val="24"/>
          <w:szCs w:val="24"/>
          <w:lang w:val="x-none"/>
        </w:rPr>
        <w:t xml:space="preserve"> the concept of </w:t>
      </w:r>
      <w:r>
        <w:rPr>
          <w:sz w:val="24"/>
          <w:szCs w:val="24"/>
          <w:lang w:val="x-none"/>
        </w:rPr>
        <w:t>non-firm transmission service</w:t>
      </w:r>
      <w:r w:rsidRPr="008B1E5A">
        <w:rPr>
          <w:sz w:val="24"/>
          <w:szCs w:val="24"/>
          <w:lang w:val="x-none"/>
        </w:rPr>
        <w:t xml:space="preserve"> into the CARES 2023 US RFP Pro Forma PPAs.</w:t>
      </w:r>
      <w:r>
        <w:rPr>
          <w:sz w:val="24"/>
          <w:szCs w:val="24"/>
          <w:lang w:val="x-none"/>
        </w:rPr>
        <w:t xml:space="preserve"> </w:t>
      </w:r>
      <w:r>
        <w:rPr>
          <w:sz w:val="24"/>
          <w:szCs w:val="24"/>
        </w:rPr>
        <w:t xml:space="preserve">On January 8, 2025, Georgia Power filed a request for Commission approval of revisions to the CARES 2023 US RFP Pro Forma PPAs to incorporate this Short-Term Network Service. The Commission approved these changes on January 28, 2025. </w:t>
      </w:r>
    </w:p>
    <w:p w14:paraId="025288A2" w14:textId="06879C0B" w:rsidR="00A3241D" w:rsidRDefault="00A3241D" w:rsidP="00B622DC">
      <w:pPr>
        <w:autoSpaceDE w:val="0"/>
        <w:autoSpaceDN w:val="0"/>
        <w:adjustRightInd w:val="0"/>
        <w:spacing w:after="240" w:line="360" w:lineRule="auto"/>
        <w:ind w:firstLine="720"/>
        <w:jc w:val="both"/>
        <w:rPr>
          <w:sz w:val="24"/>
          <w:szCs w:val="24"/>
        </w:rPr>
      </w:pPr>
      <w:r>
        <w:rPr>
          <w:sz w:val="24"/>
          <w:szCs w:val="24"/>
        </w:rPr>
        <w:t xml:space="preserve">Georgia Power then completed its transmission evaluation to determine the costs of transmission grid improvements necessary to integrate the projects. These transmission costs were </w:t>
      </w:r>
      <w:r>
        <w:rPr>
          <w:sz w:val="24"/>
          <w:szCs w:val="24"/>
        </w:rPr>
        <w:lastRenderedPageBreak/>
        <w:t>then imputed to each bid</w:t>
      </w:r>
      <w:r w:rsidR="00D0582A">
        <w:rPr>
          <w:sz w:val="24"/>
          <w:szCs w:val="24"/>
        </w:rPr>
        <w:t>,</w:t>
      </w:r>
      <w:r>
        <w:rPr>
          <w:sz w:val="24"/>
          <w:szCs w:val="24"/>
        </w:rPr>
        <w:t xml:space="preserve"> and the Competitive Tier was reranked to reflect the transmission and distribution impacts in the total net benefit calculation. Georgia Power then conducted a due diligence portfolio analysis to consider and determine the cumulative transmission impacts of possible Short List bid combinations. The Commission Staff and IE confirmed Georgia Power’s transmission and portfolio analyses and the resulting impact on the Competitive Tier rankings.</w:t>
      </w:r>
    </w:p>
    <w:p w14:paraId="1A818219" w14:textId="3B2791EC" w:rsidR="00F503D8" w:rsidRDefault="00A3241D" w:rsidP="00B622DC">
      <w:pPr>
        <w:autoSpaceDE w:val="0"/>
        <w:autoSpaceDN w:val="0"/>
        <w:adjustRightInd w:val="0"/>
        <w:spacing w:after="240" w:line="360" w:lineRule="auto"/>
        <w:ind w:firstLine="720"/>
        <w:jc w:val="both"/>
        <w:rPr>
          <w:sz w:val="24"/>
          <w:szCs w:val="24"/>
        </w:rPr>
      </w:pPr>
      <w:r>
        <w:rPr>
          <w:sz w:val="24"/>
          <w:szCs w:val="24"/>
        </w:rPr>
        <w:t xml:space="preserve">On February 14, 2025, Georgia Power </w:t>
      </w:r>
      <w:r w:rsidR="002E770D">
        <w:rPr>
          <w:sz w:val="24"/>
          <w:szCs w:val="24"/>
        </w:rPr>
        <w:t>finalized</w:t>
      </w:r>
      <w:r>
        <w:rPr>
          <w:sz w:val="24"/>
          <w:szCs w:val="24"/>
        </w:rPr>
        <w:t xml:space="preserve"> its evaluation and analysis of </w:t>
      </w:r>
      <w:r w:rsidR="002E770D">
        <w:rPr>
          <w:sz w:val="24"/>
          <w:szCs w:val="24"/>
        </w:rPr>
        <w:t>C</w:t>
      </w:r>
      <w:r>
        <w:rPr>
          <w:sz w:val="24"/>
          <w:szCs w:val="24"/>
        </w:rPr>
        <w:t xml:space="preserve">ompetitive </w:t>
      </w:r>
      <w:r w:rsidR="002E770D">
        <w:rPr>
          <w:sz w:val="24"/>
          <w:szCs w:val="24"/>
        </w:rPr>
        <w:t>T</w:t>
      </w:r>
      <w:r>
        <w:rPr>
          <w:sz w:val="24"/>
          <w:szCs w:val="24"/>
        </w:rPr>
        <w:t>ier bids and identified a Short List of winning bidders to move forward with contracting</w:t>
      </w:r>
      <w:r w:rsidR="00F503D8">
        <w:rPr>
          <w:sz w:val="24"/>
          <w:szCs w:val="24"/>
        </w:rPr>
        <w:t xml:space="preserve"> and a Reserve List</w:t>
      </w:r>
      <w:r>
        <w:rPr>
          <w:sz w:val="24"/>
          <w:szCs w:val="24"/>
        </w:rPr>
        <w:t>.</w:t>
      </w:r>
      <w:r w:rsidR="00F503D8">
        <w:rPr>
          <w:sz w:val="24"/>
          <w:szCs w:val="24"/>
        </w:rPr>
        <w:t xml:space="preserve"> The bids selected for the Short List were based upon the best value of the portfolio of proposals to the Company’s customers. </w:t>
      </w:r>
      <w:r>
        <w:rPr>
          <w:sz w:val="24"/>
          <w:szCs w:val="24"/>
        </w:rPr>
        <w:t xml:space="preserve">In early March 2025, the Company, Commission Staff, and IE met with Short List bidders to discuss the proposed contract award and respond to any questions. </w:t>
      </w:r>
      <w:r w:rsidRPr="00832763">
        <w:rPr>
          <w:sz w:val="24"/>
          <w:szCs w:val="24"/>
        </w:rPr>
        <w:t xml:space="preserve">Many of the Short List </w:t>
      </w:r>
      <w:r w:rsidR="00FC46C3">
        <w:rPr>
          <w:sz w:val="24"/>
          <w:szCs w:val="24"/>
        </w:rPr>
        <w:t>b</w:t>
      </w:r>
      <w:r w:rsidRPr="00832763">
        <w:rPr>
          <w:sz w:val="24"/>
          <w:szCs w:val="24"/>
        </w:rPr>
        <w:t xml:space="preserve">idders expressed concerns about the impacts of changes in law and tariffs and the timing of security among other issues, and requested the Company consider changes to the </w:t>
      </w:r>
      <w:r>
        <w:rPr>
          <w:sz w:val="24"/>
          <w:szCs w:val="24"/>
        </w:rPr>
        <w:t xml:space="preserve">Pro Forma </w:t>
      </w:r>
      <w:r w:rsidRPr="00832763">
        <w:rPr>
          <w:sz w:val="24"/>
          <w:szCs w:val="24"/>
        </w:rPr>
        <w:t>PPAs prior to execution.</w:t>
      </w:r>
      <w:r>
        <w:rPr>
          <w:sz w:val="24"/>
          <w:szCs w:val="24"/>
        </w:rPr>
        <w:t xml:space="preserve"> </w:t>
      </w:r>
      <w:r w:rsidRPr="00E7078D">
        <w:rPr>
          <w:sz w:val="24"/>
          <w:szCs w:val="24"/>
        </w:rPr>
        <w:t>The Company, Commission Staff, and the IE met several times</w:t>
      </w:r>
      <w:r>
        <w:rPr>
          <w:sz w:val="24"/>
          <w:szCs w:val="24"/>
        </w:rPr>
        <w:t xml:space="preserve"> to </w:t>
      </w:r>
      <w:r w:rsidRPr="00E7078D">
        <w:rPr>
          <w:sz w:val="24"/>
          <w:szCs w:val="24"/>
        </w:rPr>
        <w:t>discuss</w:t>
      </w:r>
      <w:r>
        <w:rPr>
          <w:sz w:val="24"/>
          <w:szCs w:val="24"/>
        </w:rPr>
        <w:t xml:space="preserve"> </w:t>
      </w:r>
      <w:r w:rsidR="242D7429" w:rsidRPr="166347B3">
        <w:rPr>
          <w:sz w:val="24"/>
          <w:szCs w:val="24"/>
        </w:rPr>
        <w:t xml:space="preserve">this matter </w:t>
      </w:r>
      <w:r>
        <w:rPr>
          <w:sz w:val="24"/>
          <w:szCs w:val="24"/>
        </w:rPr>
        <w:t>and agree</w:t>
      </w:r>
      <w:r w:rsidR="00FC46C3">
        <w:rPr>
          <w:sz w:val="24"/>
          <w:szCs w:val="24"/>
        </w:rPr>
        <w:t>d</w:t>
      </w:r>
      <w:r>
        <w:rPr>
          <w:sz w:val="24"/>
          <w:szCs w:val="24"/>
        </w:rPr>
        <w:t xml:space="preserve"> upon </w:t>
      </w:r>
      <w:r w:rsidRPr="00E7078D">
        <w:rPr>
          <w:sz w:val="24"/>
          <w:szCs w:val="24"/>
        </w:rPr>
        <w:t>potential solutions</w:t>
      </w:r>
      <w:r>
        <w:rPr>
          <w:sz w:val="24"/>
          <w:szCs w:val="24"/>
        </w:rPr>
        <w:t xml:space="preserve"> and revisions to the Pro Forma PPAs</w:t>
      </w:r>
      <w:r w:rsidRPr="00E7078D">
        <w:rPr>
          <w:sz w:val="24"/>
          <w:szCs w:val="24"/>
        </w:rPr>
        <w:t xml:space="preserve"> to </w:t>
      </w:r>
      <w:r>
        <w:rPr>
          <w:sz w:val="24"/>
          <w:szCs w:val="24"/>
        </w:rPr>
        <w:t>address the</w:t>
      </w:r>
      <w:r w:rsidRPr="00E7078D">
        <w:rPr>
          <w:sz w:val="24"/>
          <w:szCs w:val="24"/>
        </w:rPr>
        <w:t xml:space="preserve"> </w:t>
      </w:r>
      <w:r>
        <w:rPr>
          <w:sz w:val="24"/>
          <w:szCs w:val="24"/>
        </w:rPr>
        <w:t xml:space="preserve">issues </w:t>
      </w:r>
      <w:r w:rsidRPr="00E7078D">
        <w:rPr>
          <w:sz w:val="24"/>
          <w:szCs w:val="24"/>
        </w:rPr>
        <w:t>identified</w:t>
      </w:r>
      <w:r>
        <w:rPr>
          <w:sz w:val="24"/>
          <w:szCs w:val="24"/>
        </w:rPr>
        <w:t xml:space="preserve"> by Short List bidders. On April 3, 2025, the Company filed revised Pro Forma Energy and Energy with Storage PPAs for Commission approval</w:t>
      </w:r>
      <w:r w:rsidR="00484093">
        <w:rPr>
          <w:sz w:val="24"/>
          <w:szCs w:val="24"/>
        </w:rPr>
        <w:t>, which was granted by the Commission without modification on May 6, 2025</w:t>
      </w:r>
      <w:r>
        <w:rPr>
          <w:sz w:val="24"/>
          <w:szCs w:val="24"/>
        </w:rPr>
        <w:t xml:space="preserve">. </w:t>
      </w:r>
    </w:p>
    <w:p w14:paraId="194B86AB" w14:textId="5A1373B5" w:rsidR="00A3241D" w:rsidRDefault="00E84A76" w:rsidP="001C47F4">
      <w:pPr>
        <w:autoSpaceDE w:val="0"/>
        <w:autoSpaceDN w:val="0"/>
        <w:adjustRightInd w:val="0"/>
        <w:spacing w:after="240" w:line="360" w:lineRule="auto"/>
        <w:ind w:firstLine="720"/>
        <w:jc w:val="both"/>
        <w:rPr>
          <w:sz w:val="24"/>
          <w:szCs w:val="24"/>
        </w:rPr>
      </w:pPr>
      <w:r>
        <w:rPr>
          <w:sz w:val="24"/>
          <w:szCs w:val="24"/>
        </w:rPr>
        <w:t xml:space="preserve">Five </w:t>
      </w:r>
      <w:r w:rsidR="00F503D8">
        <w:rPr>
          <w:sz w:val="24"/>
          <w:szCs w:val="24"/>
        </w:rPr>
        <w:t>Short List</w:t>
      </w:r>
      <w:r>
        <w:rPr>
          <w:sz w:val="24"/>
          <w:szCs w:val="24"/>
        </w:rPr>
        <w:t xml:space="preserve"> bidders</w:t>
      </w:r>
      <w:r w:rsidR="00F503D8">
        <w:rPr>
          <w:sz w:val="24"/>
          <w:szCs w:val="24"/>
        </w:rPr>
        <w:t xml:space="preserve"> </w:t>
      </w:r>
      <w:r w:rsidR="00F503D8" w:rsidRPr="0030077E">
        <w:rPr>
          <w:sz w:val="24"/>
          <w:szCs w:val="24"/>
        </w:rPr>
        <w:t>execute</w:t>
      </w:r>
      <w:r w:rsidR="00DF3DA0">
        <w:rPr>
          <w:sz w:val="24"/>
          <w:szCs w:val="24"/>
        </w:rPr>
        <w:t>d</w:t>
      </w:r>
      <w:r w:rsidR="00F503D8" w:rsidRPr="0030077E">
        <w:rPr>
          <w:sz w:val="24"/>
          <w:szCs w:val="24"/>
        </w:rPr>
        <w:t xml:space="preserve"> the CARES 2023 US RFP Pro Forma PPA, as revised, appropriate for its project. Throughout</w:t>
      </w:r>
      <w:r w:rsidR="00F503D8">
        <w:rPr>
          <w:sz w:val="24"/>
          <w:szCs w:val="24"/>
        </w:rPr>
        <w:t xml:space="preserve"> the process, the Commission Staff and the IE independently verified the process and steps taken by the Company as the Competitive Tier, Short List, and Reserve List were selected.</w:t>
      </w:r>
    </w:p>
    <w:p w14:paraId="120DF3F6" w14:textId="77777777" w:rsidR="00B10A3E" w:rsidRDefault="00580390" w:rsidP="00484093">
      <w:pPr>
        <w:pStyle w:val="Heading1"/>
        <w:tabs>
          <w:tab w:val="clear" w:pos="360"/>
          <w:tab w:val="num" w:pos="720"/>
        </w:tabs>
        <w:spacing w:before="0" w:after="120" w:line="360" w:lineRule="auto"/>
        <w:ind w:left="720" w:hanging="720"/>
      </w:pPr>
      <w:bookmarkStart w:id="13" w:name="_Toc191504502"/>
      <w:r>
        <w:t>Winning Bidders’ PPAs</w:t>
      </w:r>
      <w:bookmarkEnd w:id="13"/>
    </w:p>
    <w:p w14:paraId="7D10FA8B" w14:textId="16295874" w:rsidR="003F5226" w:rsidRDefault="00580390" w:rsidP="00B622DC">
      <w:pPr>
        <w:pStyle w:val="BalloonText"/>
        <w:spacing w:line="360" w:lineRule="auto"/>
        <w:ind w:firstLine="720"/>
        <w:jc w:val="both"/>
        <w:rPr>
          <w:rFonts w:ascii="Times New Roman" w:hAnsi="Times New Roman" w:cs="Times New Roman"/>
          <w:sz w:val="24"/>
          <w:szCs w:val="24"/>
        </w:rPr>
      </w:pPr>
      <w:r w:rsidRPr="283137B6">
        <w:rPr>
          <w:rFonts w:ascii="Times New Roman" w:hAnsi="Times New Roman" w:cs="Times New Roman"/>
          <w:sz w:val="24"/>
          <w:szCs w:val="24"/>
        </w:rPr>
        <w:t xml:space="preserve">Subject to the Commission’s certification, Georgia Power has </w:t>
      </w:r>
      <w:r w:rsidR="59141016" w:rsidRPr="283137B6">
        <w:rPr>
          <w:rFonts w:ascii="Times New Roman" w:hAnsi="Times New Roman" w:cs="Times New Roman"/>
          <w:sz w:val="24"/>
          <w:szCs w:val="24"/>
        </w:rPr>
        <w:t xml:space="preserve">executed </w:t>
      </w:r>
      <w:r w:rsidR="003F5226" w:rsidRPr="283137B6">
        <w:rPr>
          <w:rFonts w:ascii="Times New Roman" w:hAnsi="Times New Roman" w:cs="Times New Roman"/>
          <w:sz w:val="24"/>
          <w:szCs w:val="24"/>
        </w:rPr>
        <w:t xml:space="preserve">CARES 2023 </w:t>
      </w:r>
      <w:r w:rsidRPr="283137B6">
        <w:rPr>
          <w:rFonts w:ascii="Times New Roman" w:hAnsi="Times New Roman" w:cs="Times New Roman"/>
          <w:sz w:val="24"/>
          <w:szCs w:val="24"/>
        </w:rPr>
        <w:t>PPAs with</w:t>
      </w:r>
      <w:r w:rsidR="00E65C27" w:rsidRPr="283137B6">
        <w:rPr>
          <w:rFonts w:ascii="Times New Roman" w:hAnsi="Times New Roman" w:cs="Times New Roman"/>
          <w:sz w:val="24"/>
          <w:szCs w:val="24"/>
        </w:rPr>
        <w:t xml:space="preserve"> </w:t>
      </w:r>
      <w:r w:rsidR="00074853" w:rsidRPr="283137B6">
        <w:rPr>
          <w:rFonts w:ascii="Times New Roman" w:hAnsi="Times New Roman" w:cs="Times New Roman"/>
          <w:sz w:val="24"/>
          <w:szCs w:val="24"/>
        </w:rPr>
        <w:t xml:space="preserve">GA Solar 5, LLC, Wilsonville Solar, LLC, Beaver Creek Solar I, LLC, Stellar Dry Creek Solar, LLC, </w:t>
      </w:r>
      <w:r w:rsidR="00B40B07">
        <w:rPr>
          <w:rFonts w:ascii="Times New Roman" w:hAnsi="Times New Roman" w:cs="Times New Roman"/>
          <w:sz w:val="24"/>
          <w:szCs w:val="24"/>
        </w:rPr>
        <w:t xml:space="preserve">and </w:t>
      </w:r>
      <w:r w:rsidR="00074853" w:rsidRPr="283137B6">
        <w:rPr>
          <w:rFonts w:ascii="Times New Roman" w:hAnsi="Times New Roman" w:cs="Times New Roman"/>
          <w:sz w:val="24"/>
          <w:szCs w:val="24"/>
        </w:rPr>
        <w:t xml:space="preserve">Stellar Shamrock Solar, LLC, </w:t>
      </w:r>
      <w:r w:rsidRPr="283137B6">
        <w:rPr>
          <w:rFonts w:ascii="Times New Roman" w:hAnsi="Times New Roman" w:cs="Times New Roman"/>
          <w:sz w:val="24"/>
          <w:szCs w:val="24"/>
        </w:rPr>
        <w:t xml:space="preserve">(the “Winning Bidders”). Due to the pro forma nature of the PPAs, </w:t>
      </w:r>
      <w:r w:rsidR="003F5226" w:rsidRPr="283137B6">
        <w:rPr>
          <w:rFonts w:ascii="Times New Roman" w:hAnsi="Times New Roman" w:cs="Times New Roman"/>
          <w:sz w:val="24"/>
          <w:szCs w:val="24"/>
        </w:rPr>
        <w:t>all changes requested following the Short List bidder meetings in March 2025 were made available to all Short List bidders</w:t>
      </w:r>
      <w:r w:rsidR="00B969C7" w:rsidRPr="283137B6">
        <w:rPr>
          <w:rFonts w:ascii="Times New Roman" w:hAnsi="Times New Roman" w:cs="Times New Roman"/>
          <w:sz w:val="24"/>
          <w:szCs w:val="24"/>
        </w:rPr>
        <w:t>,</w:t>
      </w:r>
      <w:r w:rsidR="003F5226" w:rsidRPr="283137B6">
        <w:rPr>
          <w:rFonts w:ascii="Times New Roman" w:hAnsi="Times New Roman" w:cs="Times New Roman"/>
          <w:sz w:val="24"/>
          <w:szCs w:val="24"/>
        </w:rPr>
        <w:t xml:space="preserve"> and </w:t>
      </w:r>
      <w:r w:rsidRPr="283137B6">
        <w:rPr>
          <w:rFonts w:ascii="Times New Roman" w:hAnsi="Times New Roman" w:cs="Times New Roman"/>
          <w:sz w:val="24"/>
          <w:szCs w:val="24"/>
        </w:rPr>
        <w:t>no</w:t>
      </w:r>
      <w:r w:rsidR="003F5226" w:rsidRPr="283137B6">
        <w:rPr>
          <w:rFonts w:ascii="Times New Roman" w:hAnsi="Times New Roman" w:cs="Times New Roman"/>
          <w:sz w:val="24"/>
          <w:szCs w:val="24"/>
        </w:rPr>
        <w:t xml:space="preserve"> further</w:t>
      </w:r>
      <w:r w:rsidRPr="283137B6">
        <w:rPr>
          <w:rFonts w:ascii="Times New Roman" w:hAnsi="Times New Roman" w:cs="Times New Roman"/>
          <w:sz w:val="24"/>
          <w:szCs w:val="24"/>
        </w:rPr>
        <w:t xml:space="preserve"> substantive changes to the PPA terms were </w:t>
      </w:r>
      <w:r w:rsidR="002211EA" w:rsidRPr="283137B6">
        <w:rPr>
          <w:rFonts w:ascii="Times New Roman" w:hAnsi="Times New Roman" w:cs="Times New Roman"/>
          <w:sz w:val="24"/>
          <w:szCs w:val="24"/>
        </w:rPr>
        <w:t xml:space="preserve">made </w:t>
      </w:r>
      <w:r w:rsidR="0030077E" w:rsidRPr="283137B6">
        <w:rPr>
          <w:rFonts w:ascii="Times New Roman" w:hAnsi="Times New Roman" w:cs="Times New Roman"/>
          <w:sz w:val="24"/>
          <w:szCs w:val="24"/>
        </w:rPr>
        <w:t>following</w:t>
      </w:r>
      <w:r w:rsidRPr="283137B6">
        <w:rPr>
          <w:rFonts w:ascii="Times New Roman" w:hAnsi="Times New Roman" w:cs="Times New Roman"/>
          <w:sz w:val="24"/>
          <w:szCs w:val="24"/>
        </w:rPr>
        <w:t xml:space="preserve"> Commission approval of the </w:t>
      </w:r>
      <w:r w:rsidR="0030077E" w:rsidRPr="283137B6">
        <w:rPr>
          <w:rFonts w:ascii="Times New Roman" w:hAnsi="Times New Roman" w:cs="Times New Roman"/>
          <w:sz w:val="24"/>
          <w:szCs w:val="24"/>
        </w:rPr>
        <w:t xml:space="preserve">revised </w:t>
      </w:r>
      <w:r w:rsidR="003F5226" w:rsidRPr="283137B6">
        <w:rPr>
          <w:rFonts w:ascii="Times New Roman" w:hAnsi="Times New Roman" w:cs="Times New Roman"/>
          <w:sz w:val="24"/>
          <w:szCs w:val="24"/>
        </w:rPr>
        <w:t>P</w:t>
      </w:r>
      <w:r w:rsidRPr="283137B6">
        <w:rPr>
          <w:rFonts w:ascii="Times New Roman" w:hAnsi="Times New Roman" w:cs="Times New Roman"/>
          <w:sz w:val="24"/>
          <w:szCs w:val="24"/>
        </w:rPr>
        <w:t xml:space="preserve">ro </w:t>
      </w:r>
      <w:r w:rsidR="003F5226" w:rsidRPr="283137B6">
        <w:rPr>
          <w:rFonts w:ascii="Times New Roman" w:hAnsi="Times New Roman" w:cs="Times New Roman"/>
          <w:sz w:val="24"/>
          <w:szCs w:val="24"/>
        </w:rPr>
        <w:t>F</w:t>
      </w:r>
      <w:r w:rsidRPr="283137B6">
        <w:rPr>
          <w:rFonts w:ascii="Times New Roman" w:hAnsi="Times New Roman" w:cs="Times New Roman"/>
          <w:sz w:val="24"/>
          <w:szCs w:val="24"/>
        </w:rPr>
        <w:t xml:space="preserve">orma PPAs on </w:t>
      </w:r>
      <w:r w:rsidR="0030077E">
        <w:rPr>
          <w:rFonts w:ascii="Times New Roman" w:hAnsi="Times New Roman" w:cs="Times New Roman"/>
          <w:sz w:val="24"/>
          <w:szCs w:val="24"/>
        </w:rPr>
        <w:t>May 6, 2025</w:t>
      </w:r>
      <w:r w:rsidRPr="283137B6">
        <w:rPr>
          <w:rFonts w:ascii="Times New Roman" w:hAnsi="Times New Roman" w:cs="Times New Roman"/>
          <w:sz w:val="24"/>
          <w:szCs w:val="24"/>
        </w:rPr>
        <w:t xml:space="preserve">. </w:t>
      </w:r>
    </w:p>
    <w:p w14:paraId="3C54D8BE" w14:textId="0462C1A9" w:rsidR="00B10A3E" w:rsidRDefault="00580390" w:rsidP="001C47F4">
      <w:pPr>
        <w:pStyle w:val="BalloonText"/>
        <w:spacing w:line="360" w:lineRule="auto"/>
        <w:ind w:firstLine="720"/>
        <w:jc w:val="both"/>
        <w:rPr>
          <w:rFonts w:ascii="Times New Roman" w:hAnsi="Times New Roman" w:cs="Times New Roman"/>
          <w:sz w:val="24"/>
        </w:rPr>
      </w:pPr>
      <w:r>
        <w:rPr>
          <w:rFonts w:ascii="Times New Roman" w:hAnsi="Times New Roman" w:cs="Times New Roman"/>
          <w:sz w:val="24"/>
        </w:rPr>
        <w:lastRenderedPageBreak/>
        <w:t>The effectiveness of the PPAs is expressly conditioned upon the Commission’s approval.</w:t>
      </w:r>
      <w:r w:rsidR="003F5226">
        <w:rPr>
          <w:rFonts w:ascii="Times New Roman" w:hAnsi="Times New Roman" w:cs="Times New Roman"/>
          <w:sz w:val="24"/>
        </w:rPr>
        <w:t xml:space="preserve"> Appendix A contains copies of the CARES 2023 PPAs executed with Winning Bidders by the date of filing this Application.</w:t>
      </w:r>
    </w:p>
    <w:p w14:paraId="45417428" w14:textId="77777777" w:rsidR="00B10A3E" w:rsidRPr="00E37FD5" w:rsidRDefault="00580390" w:rsidP="008D36B2">
      <w:pPr>
        <w:pStyle w:val="Heading1"/>
        <w:keepNext/>
        <w:tabs>
          <w:tab w:val="clear" w:pos="360"/>
          <w:tab w:val="num" w:pos="720"/>
        </w:tabs>
        <w:spacing w:before="120" w:after="120" w:line="360" w:lineRule="auto"/>
        <w:ind w:left="720" w:hanging="720"/>
      </w:pPr>
      <w:bookmarkStart w:id="14" w:name="_Toc191504503"/>
      <w:r>
        <w:t>Total Net Benefit Analysis and PPA Pricing</w:t>
      </w:r>
      <w:bookmarkEnd w:id="14"/>
    </w:p>
    <w:p w14:paraId="7B11F540" w14:textId="737F4BCF" w:rsidR="00B10A3E" w:rsidRPr="002E4BAA" w:rsidRDefault="00580390" w:rsidP="008D36B2">
      <w:pPr>
        <w:pStyle w:val="Heading2"/>
        <w:keepNext/>
        <w:tabs>
          <w:tab w:val="clear" w:pos="7362"/>
          <w:tab w:val="num" w:pos="1440"/>
        </w:tabs>
        <w:spacing w:after="120" w:line="360" w:lineRule="auto"/>
        <w:ind w:left="720" w:firstLine="0"/>
      </w:pPr>
      <w:bookmarkStart w:id="15" w:name="_Toc371316827"/>
      <w:bookmarkStart w:id="16" w:name="_Toc191504504"/>
      <w:r>
        <w:rPr>
          <w:snapToGrid w:val="0"/>
        </w:rPr>
        <w:t>Total Net</w:t>
      </w:r>
      <w:r w:rsidRPr="002E4BAA">
        <w:rPr>
          <w:snapToGrid w:val="0"/>
        </w:rPr>
        <w:t xml:space="preserve"> Benefit Analysis</w:t>
      </w:r>
      <w:bookmarkEnd w:id="15"/>
      <w:bookmarkEnd w:id="16"/>
    </w:p>
    <w:p w14:paraId="7AFA8677" w14:textId="6B4CAF26" w:rsidR="00B10A3E" w:rsidRDefault="00580390" w:rsidP="001C47F4">
      <w:pPr>
        <w:keepNext/>
        <w:spacing w:line="360" w:lineRule="auto"/>
        <w:ind w:firstLine="720"/>
        <w:contextualSpacing/>
        <w:jc w:val="both"/>
        <w:rPr>
          <w:sz w:val="24"/>
          <w:szCs w:val="24"/>
        </w:rPr>
      </w:pPr>
      <w:r w:rsidRPr="67165DD6">
        <w:rPr>
          <w:sz w:val="24"/>
          <w:szCs w:val="24"/>
        </w:rPr>
        <w:t xml:space="preserve">The Company performed a </w:t>
      </w:r>
      <w:r w:rsidR="00D50481" w:rsidRPr="67165DD6">
        <w:rPr>
          <w:sz w:val="24"/>
          <w:szCs w:val="24"/>
        </w:rPr>
        <w:t>t</w:t>
      </w:r>
      <w:r w:rsidRPr="67165DD6">
        <w:rPr>
          <w:sz w:val="24"/>
          <w:szCs w:val="24"/>
        </w:rPr>
        <w:t xml:space="preserve">otal </w:t>
      </w:r>
      <w:r w:rsidR="00D50481" w:rsidRPr="67165DD6">
        <w:rPr>
          <w:sz w:val="24"/>
          <w:szCs w:val="24"/>
        </w:rPr>
        <w:t>n</w:t>
      </w:r>
      <w:r w:rsidRPr="67165DD6">
        <w:rPr>
          <w:sz w:val="24"/>
          <w:szCs w:val="24"/>
        </w:rPr>
        <w:t xml:space="preserve">et </w:t>
      </w:r>
      <w:r w:rsidR="00D50481" w:rsidRPr="67165DD6">
        <w:rPr>
          <w:sz w:val="24"/>
          <w:szCs w:val="24"/>
        </w:rPr>
        <w:t>b</w:t>
      </w:r>
      <w:r w:rsidRPr="67165DD6">
        <w:rPr>
          <w:sz w:val="24"/>
          <w:szCs w:val="24"/>
        </w:rPr>
        <w:t xml:space="preserve">enefit </w:t>
      </w:r>
      <w:r w:rsidR="00D50481" w:rsidRPr="67165DD6">
        <w:rPr>
          <w:sz w:val="24"/>
          <w:szCs w:val="24"/>
        </w:rPr>
        <w:t>a</w:t>
      </w:r>
      <w:r w:rsidRPr="67165DD6">
        <w:rPr>
          <w:sz w:val="24"/>
          <w:szCs w:val="24"/>
        </w:rPr>
        <w:t xml:space="preserve">nalysis of the </w:t>
      </w:r>
      <w:r w:rsidR="00F503D8" w:rsidRPr="67165DD6">
        <w:rPr>
          <w:sz w:val="24"/>
          <w:szCs w:val="24"/>
        </w:rPr>
        <w:t>CARES 2023</w:t>
      </w:r>
      <w:r w:rsidR="000F7A99" w:rsidRPr="67165DD6">
        <w:rPr>
          <w:sz w:val="24"/>
          <w:szCs w:val="24"/>
        </w:rPr>
        <w:t xml:space="preserve"> </w:t>
      </w:r>
      <w:r w:rsidRPr="67165DD6">
        <w:rPr>
          <w:sz w:val="24"/>
          <w:szCs w:val="24"/>
        </w:rPr>
        <w:t>PPAs utilizing the Renewable Cost Benefit Framework (“RCB Framework”)</w:t>
      </w:r>
      <w:r w:rsidR="00F503D8" w:rsidRPr="67165DD6">
        <w:rPr>
          <w:sz w:val="24"/>
          <w:szCs w:val="24"/>
        </w:rPr>
        <w:t xml:space="preserve"> and Best Cost Methodology</w:t>
      </w:r>
      <w:r w:rsidRPr="67165DD6">
        <w:rPr>
          <w:sz w:val="24"/>
          <w:szCs w:val="24"/>
        </w:rPr>
        <w:t xml:space="preserve"> as prescribed in the Commission’s </w:t>
      </w:r>
      <w:r w:rsidR="00F03669" w:rsidRPr="67165DD6">
        <w:rPr>
          <w:sz w:val="24"/>
          <w:szCs w:val="24"/>
        </w:rPr>
        <w:t>20</w:t>
      </w:r>
      <w:r w:rsidR="009432CA" w:rsidRPr="67165DD6">
        <w:rPr>
          <w:sz w:val="24"/>
          <w:szCs w:val="24"/>
        </w:rPr>
        <w:t>22</w:t>
      </w:r>
      <w:r w:rsidR="00F03669" w:rsidRPr="67165DD6">
        <w:rPr>
          <w:sz w:val="24"/>
          <w:szCs w:val="24"/>
        </w:rPr>
        <w:t xml:space="preserve"> </w:t>
      </w:r>
      <w:r w:rsidR="00DB1E29" w:rsidRPr="67165DD6">
        <w:rPr>
          <w:sz w:val="24"/>
          <w:szCs w:val="24"/>
        </w:rPr>
        <w:t xml:space="preserve">IRP </w:t>
      </w:r>
      <w:r w:rsidR="00F03669" w:rsidRPr="67165DD6">
        <w:rPr>
          <w:sz w:val="24"/>
          <w:szCs w:val="24"/>
        </w:rPr>
        <w:t>Final Order</w:t>
      </w:r>
      <w:r w:rsidRPr="67165DD6">
        <w:rPr>
          <w:sz w:val="24"/>
          <w:szCs w:val="24"/>
        </w:rPr>
        <w:t xml:space="preserve">. The </w:t>
      </w:r>
      <w:r w:rsidR="00D50481" w:rsidRPr="67165DD6">
        <w:rPr>
          <w:sz w:val="24"/>
          <w:szCs w:val="24"/>
        </w:rPr>
        <w:t>t</w:t>
      </w:r>
      <w:r w:rsidRPr="67165DD6">
        <w:rPr>
          <w:sz w:val="24"/>
          <w:szCs w:val="24"/>
        </w:rPr>
        <w:t xml:space="preserve">otal </w:t>
      </w:r>
      <w:r w:rsidR="00D50481" w:rsidRPr="67165DD6">
        <w:rPr>
          <w:sz w:val="24"/>
          <w:szCs w:val="24"/>
        </w:rPr>
        <w:t>n</w:t>
      </w:r>
      <w:r w:rsidRPr="67165DD6">
        <w:rPr>
          <w:sz w:val="24"/>
          <w:szCs w:val="24"/>
        </w:rPr>
        <w:t xml:space="preserve">et </w:t>
      </w:r>
      <w:r w:rsidR="00D50481" w:rsidRPr="67165DD6">
        <w:rPr>
          <w:sz w:val="24"/>
          <w:szCs w:val="24"/>
        </w:rPr>
        <w:t>b</w:t>
      </w:r>
      <w:r w:rsidRPr="67165DD6">
        <w:rPr>
          <w:sz w:val="24"/>
          <w:szCs w:val="24"/>
        </w:rPr>
        <w:t xml:space="preserve">enefit </w:t>
      </w:r>
      <w:r w:rsidR="00D50481" w:rsidRPr="67165DD6">
        <w:rPr>
          <w:sz w:val="24"/>
          <w:szCs w:val="24"/>
        </w:rPr>
        <w:t>a</w:t>
      </w:r>
      <w:r w:rsidRPr="67165DD6">
        <w:rPr>
          <w:sz w:val="24"/>
          <w:szCs w:val="24"/>
        </w:rPr>
        <w:t xml:space="preserve">nalysis includes consideration for costs associated with each proposal netted against </w:t>
      </w:r>
      <w:r w:rsidR="0001762E" w:rsidRPr="67165DD6">
        <w:rPr>
          <w:sz w:val="24"/>
          <w:szCs w:val="24"/>
        </w:rPr>
        <w:t xml:space="preserve">the </w:t>
      </w:r>
      <w:r w:rsidRPr="67165DD6">
        <w:rPr>
          <w:sz w:val="24"/>
          <w:szCs w:val="24"/>
        </w:rPr>
        <w:t xml:space="preserve">projected avoided cost benefits using the RCB Framework. The costs consist of the payments made to the renewable generator plus any costs associated with system improvements necessary to deliver the energy to the </w:t>
      </w:r>
      <w:r w:rsidR="00283CAD" w:rsidRPr="67165DD6">
        <w:rPr>
          <w:sz w:val="24"/>
          <w:szCs w:val="24"/>
        </w:rPr>
        <w:t xml:space="preserve">Company’s </w:t>
      </w:r>
      <w:r w:rsidRPr="67165DD6">
        <w:rPr>
          <w:sz w:val="24"/>
          <w:szCs w:val="24"/>
        </w:rPr>
        <w:t xml:space="preserve">customers, and any applicable costs identified through the RCB Framework. The total net benefit is the difference between the cost of energy from the renewable resources and the Company’s projected avoided costs, and any other additional </w:t>
      </w:r>
      <w:r w:rsidR="007E3093" w:rsidRPr="67165DD6">
        <w:rPr>
          <w:sz w:val="24"/>
          <w:szCs w:val="24"/>
        </w:rPr>
        <w:t xml:space="preserve">costs and </w:t>
      </w:r>
      <w:r w:rsidRPr="67165DD6">
        <w:rPr>
          <w:sz w:val="24"/>
          <w:szCs w:val="24"/>
        </w:rPr>
        <w:t xml:space="preserve">benefits identified through the RCB Framework (the “Total Net Benefit”). </w:t>
      </w:r>
      <w:r>
        <w:rPr>
          <w:sz w:val="24"/>
        </w:rPr>
        <w:t>The payments</w:t>
      </w:r>
      <w:r w:rsidRPr="67165DD6">
        <w:rPr>
          <w:sz w:val="24"/>
          <w:szCs w:val="24"/>
        </w:rPr>
        <w:t xml:space="preserve"> made to the renewable generators will be calculated by multiplying the bid price times the amount of energy delivered. Energy is uniquely priced for each project, as shown in Table 5.2.</w:t>
      </w:r>
    </w:p>
    <w:p w14:paraId="78058AEC" w14:textId="246ADFA5" w:rsidR="00B10A3E" w:rsidRDefault="00580390" w:rsidP="2DBF7F9C">
      <w:pPr>
        <w:spacing w:before="240" w:line="360" w:lineRule="auto"/>
        <w:ind w:firstLine="720"/>
        <w:jc w:val="both"/>
        <w:rPr>
          <w:sz w:val="24"/>
          <w:szCs w:val="24"/>
        </w:rPr>
      </w:pPr>
      <w:r w:rsidRPr="2DBF7F9C">
        <w:rPr>
          <w:sz w:val="24"/>
          <w:szCs w:val="24"/>
        </w:rPr>
        <w:t xml:space="preserve">The transmission costs were provided by Georgia Power and Southern Company Services based on the characteristics of each facility described within the bids. The </w:t>
      </w:r>
      <w:r w:rsidRPr="00D50481">
        <w:rPr>
          <w:sz w:val="24"/>
          <w:szCs w:val="24"/>
        </w:rPr>
        <w:t xml:space="preserve">avoided costs for each bid were calculated by applying the hourly avoided cost projections from the </w:t>
      </w:r>
      <w:r w:rsidR="0001762E" w:rsidRPr="00D50481">
        <w:rPr>
          <w:sz w:val="24"/>
          <w:szCs w:val="24"/>
        </w:rPr>
        <w:t>B</w:t>
      </w:r>
      <w:r w:rsidR="00283CAD" w:rsidRPr="00D50481">
        <w:rPr>
          <w:sz w:val="24"/>
          <w:szCs w:val="24"/>
        </w:rPr>
        <w:t xml:space="preserve">udget </w:t>
      </w:r>
      <w:r w:rsidR="0001762E" w:rsidRPr="00D50481">
        <w:rPr>
          <w:sz w:val="24"/>
          <w:szCs w:val="24"/>
        </w:rPr>
        <w:t>202</w:t>
      </w:r>
      <w:r w:rsidR="001F3D69" w:rsidRPr="00D50481">
        <w:rPr>
          <w:sz w:val="24"/>
          <w:szCs w:val="24"/>
        </w:rPr>
        <w:t>3</w:t>
      </w:r>
      <w:r w:rsidR="0001762E" w:rsidRPr="00D50481">
        <w:rPr>
          <w:sz w:val="24"/>
          <w:szCs w:val="24"/>
        </w:rPr>
        <w:t xml:space="preserve"> </w:t>
      </w:r>
      <w:r w:rsidRPr="00D50481">
        <w:rPr>
          <w:sz w:val="24"/>
          <w:szCs w:val="24"/>
        </w:rPr>
        <w:t>planning</w:t>
      </w:r>
      <w:r w:rsidRPr="2DBF7F9C">
        <w:rPr>
          <w:sz w:val="24"/>
          <w:szCs w:val="24"/>
        </w:rPr>
        <w:t xml:space="preserve"> data to the hourly output from the renewable generator, as provided by the bidder, with consideration for the approved RCB Framework components. Each bid has a different avoided cost benefit because the typical hourly outputs differ between bids due to diverse design parameters such as location, tracking versus fixed systems, the DC/AC ratio, </w:t>
      </w:r>
      <w:r w:rsidR="69E54EB9" w:rsidRPr="7C24BC59">
        <w:rPr>
          <w:sz w:val="24"/>
          <w:szCs w:val="24"/>
        </w:rPr>
        <w:t xml:space="preserve">and </w:t>
      </w:r>
      <w:r w:rsidRPr="2DBF7F9C">
        <w:rPr>
          <w:sz w:val="24"/>
          <w:szCs w:val="24"/>
        </w:rPr>
        <w:t>orientation.</w:t>
      </w:r>
    </w:p>
    <w:p w14:paraId="07AF7E24" w14:textId="12566EAE" w:rsidR="00B10A3E" w:rsidRDefault="00580390" w:rsidP="00B622DC">
      <w:pPr>
        <w:spacing w:before="240" w:line="360" w:lineRule="auto"/>
        <w:ind w:firstLine="720"/>
        <w:jc w:val="both"/>
        <w:rPr>
          <w:sz w:val="24"/>
        </w:rPr>
      </w:pPr>
      <w:r>
        <w:rPr>
          <w:sz w:val="24"/>
        </w:rPr>
        <w:t xml:space="preserve">To fairly compare projects of different MW sizes, the Total Net Benefit of each bid was expressed in terms of a levelized dollar per megawatt hour ($/MWh). The </w:t>
      </w:r>
      <w:r w:rsidR="005E56C2">
        <w:rPr>
          <w:sz w:val="24"/>
        </w:rPr>
        <w:t xml:space="preserve">CARES 2023 </w:t>
      </w:r>
      <w:r>
        <w:rPr>
          <w:sz w:val="24"/>
        </w:rPr>
        <w:t>PPAs represent those projects with the highest Total Net Benefit to Georgia Power’s customers.</w:t>
      </w:r>
    </w:p>
    <w:p w14:paraId="4C41C9C9" w14:textId="1F1CD5B9" w:rsidR="00FF452A" w:rsidRDefault="007A6309" w:rsidP="00B622DC">
      <w:pPr>
        <w:spacing w:before="240" w:line="360" w:lineRule="auto"/>
        <w:ind w:firstLine="720"/>
        <w:jc w:val="both"/>
        <w:rPr>
          <w:sz w:val="24"/>
          <w:szCs w:val="24"/>
        </w:rPr>
        <w:sectPr w:rsidR="00FF452A" w:rsidSect="00B10A3E">
          <w:pgSz w:w="12240" w:h="15840" w:code="1"/>
          <w:pgMar w:top="1440" w:right="1440" w:bottom="1440" w:left="1440" w:header="576" w:footer="720" w:gutter="0"/>
          <w:pgNumType w:start="1"/>
          <w:cols w:space="720"/>
          <w:noEndnote/>
          <w:titlePg/>
        </w:sectPr>
      </w:pPr>
      <w:r>
        <w:rPr>
          <w:sz w:val="24"/>
          <w:szCs w:val="24"/>
        </w:rPr>
        <w:lastRenderedPageBreak/>
        <w:t xml:space="preserve">All of the </w:t>
      </w:r>
      <w:r w:rsidR="00FF452A" w:rsidRPr="6EEF845A">
        <w:rPr>
          <w:sz w:val="24"/>
          <w:szCs w:val="24"/>
        </w:rPr>
        <w:t xml:space="preserve">CARES 2023 PPAs will include Short Term Network Service for </w:t>
      </w:r>
      <w:r w:rsidR="000125E4">
        <w:rPr>
          <w:sz w:val="24"/>
          <w:szCs w:val="24"/>
        </w:rPr>
        <w:t xml:space="preserve">approximately </w:t>
      </w:r>
      <w:r w:rsidR="00FF452A" w:rsidRPr="6EEF845A">
        <w:rPr>
          <w:sz w:val="24"/>
          <w:szCs w:val="24"/>
        </w:rPr>
        <w:t xml:space="preserve">the first three years of the Term until the transmission upgrades required for firm service are completed. </w:t>
      </w:r>
    </w:p>
    <w:p w14:paraId="7286EF09" w14:textId="18E0CDC6" w:rsidR="00B10A3E" w:rsidRPr="009211A2" w:rsidRDefault="003F5226" w:rsidP="001C47F4">
      <w:pPr>
        <w:pStyle w:val="Heading2"/>
        <w:keepNext/>
        <w:tabs>
          <w:tab w:val="clear" w:pos="7362"/>
          <w:tab w:val="num" w:pos="0"/>
          <w:tab w:val="left" w:pos="720"/>
        </w:tabs>
        <w:spacing w:after="120" w:line="360" w:lineRule="auto"/>
        <w:ind w:left="0" w:firstLine="0"/>
      </w:pPr>
      <w:bookmarkStart w:id="17" w:name="_Toc191504505"/>
      <w:r>
        <w:rPr>
          <w:snapToGrid w:val="0"/>
        </w:rPr>
        <w:lastRenderedPageBreak/>
        <w:t>CARES 2023</w:t>
      </w:r>
      <w:r w:rsidR="00F92BF1">
        <w:rPr>
          <w:snapToGrid w:val="0"/>
        </w:rPr>
        <w:t xml:space="preserve"> </w:t>
      </w:r>
      <w:r w:rsidR="00580390" w:rsidRPr="009211A2">
        <w:rPr>
          <w:snapToGrid w:val="0"/>
        </w:rPr>
        <w:t>PPA Pricing</w:t>
      </w:r>
      <w:bookmarkEnd w:id="17"/>
      <w:r w:rsidR="00580390" w:rsidRPr="009211A2">
        <w:rPr>
          <w:snapToGrid w:val="0"/>
        </w:rPr>
        <w:t xml:space="preserve"> </w:t>
      </w:r>
    </w:p>
    <w:p w14:paraId="3D8D22CE" w14:textId="5E21F2E8" w:rsidR="00B10A3E" w:rsidRDefault="00580390" w:rsidP="008D36B2">
      <w:pPr>
        <w:keepNext/>
        <w:spacing w:line="360" w:lineRule="auto"/>
        <w:ind w:left="720"/>
        <w:jc w:val="both"/>
        <w:rPr>
          <w:sz w:val="24"/>
        </w:rPr>
      </w:pPr>
      <w:r w:rsidRPr="009211A2">
        <w:rPr>
          <w:sz w:val="24"/>
        </w:rPr>
        <w:t xml:space="preserve">Table 5.2 below provides the energy pricing for the </w:t>
      </w:r>
      <w:r w:rsidR="003F5226">
        <w:rPr>
          <w:sz w:val="24"/>
        </w:rPr>
        <w:t>CARES 2023</w:t>
      </w:r>
      <w:r w:rsidRPr="009211A2">
        <w:rPr>
          <w:sz w:val="24"/>
        </w:rPr>
        <w:t xml:space="preserve"> PPAs.</w:t>
      </w:r>
    </w:p>
    <w:p w14:paraId="6A7D2076" w14:textId="57709515" w:rsidR="00B10A3E" w:rsidRPr="00C15423" w:rsidRDefault="00580390" w:rsidP="00C15423">
      <w:pPr>
        <w:keepNext/>
        <w:spacing w:before="120" w:after="120" w:line="360" w:lineRule="auto"/>
        <w:ind w:left="720"/>
        <w:jc w:val="center"/>
        <w:rPr>
          <w:b/>
          <w:sz w:val="24"/>
          <w:szCs w:val="24"/>
        </w:rPr>
      </w:pPr>
      <w:r w:rsidRPr="76DB0DCD">
        <w:rPr>
          <w:b/>
          <w:sz w:val="24"/>
          <w:szCs w:val="24"/>
        </w:rPr>
        <w:t xml:space="preserve">Table 5.2– </w:t>
      </w:r>
      <w:r w:rsidR="00C50231" w:rsidRPr="76DB0DCD">
        <w:rPr>
          <w:b/>
          <w:sz w:val="24"/>
          <w:szCs w:val="24"/>
        </w:rPr>
        <w:t>CARES 2023</w:t>
      </w:r>
      <w:r w:rsidR="00F92BF1" w:rsidRPr="76DB0DCD">
        <w:rPr>
          <w:b/>
          <w:sz w:val="24"/>
          <w:szCs w:val="24"/>
        </w:rPr>
        <w:t xml:space="preserve"> </w:t>
      </w:r>
      <w:r w:rsidRPr="76DB0DCD">
        <w:rPr>
          <w:b/>
          <w:sz w:val="24"/>
          <w:szCs w:val="24"/>
        </w:rPr>
        <w:t>PPA Pricing ($/MWh)</w:t>
      </w:r>
    </w:p>
    <w:tbl>
      <w:tblPr>
        <w:tblW w:w="8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
        <w:gridCol w:w="1440"/>
        <w:gridCol w:w="1440"/>
        <w:gridCol w:w="1440"/>
        <w:gridCol w:w="1440"/>
        <w:gridCol w:w="1440"/>
      </w:tblGrid>
      <w:tr w:rsidR="00C5303C" w:rsidRPr="00C50231" w14:paraId="74F361F3" w14:textId="7C496EE6" w:rsidTr="00D178A5">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5D5330B9" w14:textId="77777777" w:rsidR="00C5303C" w:rsidRPr="001C47F4" w:rsidRDefault="00C5303C" w:rsidP="00C15423">
            <w:pPr>
              <w:keepNext/>
              <w:jc w:val="center"/>
              <w:rPr>
                <w:b/>
                <w:sz w:val="22"/>
                <w:szCs w:val="22"/>
              </w:rPr>
            </w:pPr>
            <w:r w:rsidRPr="001C47F4">
              <w:rPr>
                <w:b/>
                <w:sz w:val="22"/>
                <w:szCs w:val="22"/>
              </w:rPr>
              <w:t>Annual Period</w:t>
            </w:r>
          </w:p>
        </w:tc>
        <w:tc>
          <w:tcPr>
            <w:tcW w:w="1440" w:type="dxa"/>
            <w:tcBorders>
              <w:top w:val="single" w:sz="4" w:space="0" w:color="auto"/>
              <w:left w:val="single" w:sz="4" w:space="0" w:color="auto"/>
              <w:bottom w:val="single" w:sz="4" w:space="0" w:color="auto"/>
              <w:right w:val="single" w:sz="4" w:space="0" w:color="auto"/>
            </w:tcBorders>
            <w:vAlign w:val="center"/>
          </w:tcPr>
          <w:p w14:paraId="004D4627" w14:textId="42B20EE4" w:rsidR="00C5303C" w:rsidRPr="001C47F4" w:rsidRDefault="00C5303C" w:rsidP="001C47F4">
            <w:pPr>
              <w:keepNext/>
              <w:rPr>
                <w:b/>
                <w:sz w:val="22"/>
                <w:szCs w:val="22"/>
              </w:rPr>
            </w:pPr>
            <w:r>
              <w:rPr>
                <w:b/>
                <w:sz w:val="22"/>
                <w:szCs w:val="22"/>
              </w:rPr>
              <w:t>Old Hickory Solar</w:t>
            </w:r>
          </w:p>
        </w:tc>
        <w:tc>
          <w:tcPr>
            <w:tcW w:w="1440" w:type="dxa"/>
            <w:tcBorders>
              <w:top w:val="single" w:sz="4" w:space="0" w:color="auto"/>
              <w:left w:val="single" w:sz="4" w:space="0" w:color="auto"/>
              <w:bottom w:val="single" w:sz="4" w:space="0" w:color="auto"/>
              <w:right w:val="single" w:sz="4" w:space="0" w:color="auto"/>
            </w:tcBorders>
            <w:vAlign w:val="center"/>
          </w:tcPr>
          <w:p w14:paraId="4DAFEBC8" w14:textId="2A3EA489" w:rsidR="00C5303C" w:rsidRPr="00C50231" w:rsidRDefault="00C5303C" w:rsidP="001C47F4">
            <w:pPr>
              <w:keepNext/>
              <w:rPr>
                <w:b/>
                <w:sz w:val="22"/>
                <w:szCs w:val="22"/>
              </w:rPr>
            </w:pPr>
            <w:r>
              <w:rPr>
                <w:b/>
                <w:sz w:val="22"/>
                <w:szCs w:val="22"/>
              </w:rPr>
              <w:t>Wilsonville Solar</w:t>
            </w:r>
          </w:p>
        </w:tc>
        <w:tc>
          <w:tcPr>
            <w:tcW w:w="1440" w:type="dxa"/>
            <w:tcBorders>
              <w:top w:val="single" w:sz="4" w:space="0" w:color="auto"/>
              <w:left w:val="single" w:sz="4" w:space="0" w:color="auto"/>
              <w:bottom w:val="single" w:sz="4" w:space="0" w:color="auto"/>
              <w:right w:val="single" w:sz="4" w:space="0" w:color="auto"/>
            </w:tcBorders>
            <w:vAlign w:val="center"/>
          </w:tcPr>
          <w:p w14:paraId="3B36EA07" w14:textId="69133681" w:rsidR="00C5303C" w:rsidRPr="00C50231" w:rsidRDefault="00C5303C" w:rsidP="001C47F4">
            <w:pPr>
              <w:keepNext/>
              <w:rPr>
                <w:b/>
                <w:sz w:val="22"/>
                <w:szCs w:val="22"/>
              </w:rPr>
            </w:pPr>
            <w:r>
              <w:rPr>
                <w:b/>
                <w:sz w:val="22"/>
                <w:szCs w:val="22"/>
              </w:rPr>
              <w:t>Beaver Creek Solar</w:t>
            </w:r>
          </w:p>
        </w:tc>
        <w:tc>
          <w:tcPr>
            <w:tcW w:w="1440" w:type="dxa"/>
            <w:tcBorders>
              <w:top w:val="single" w:sz="4" w:space="0" w:color="auto"/>
              <w:left w:val="single" w:sz="4" w:space="0" w:color="auto"/>
              <w:bottom w:val="single" w:sz="4" w:space="0" w:color="auto"/>
              <w:right w:val="single" w:sz="4" w:space="0" w:color="auto"/>
            </w:tcBorders>
            <w:vAlign w:val="center"/>
          </w:tcPr>
          <w:p w14:paraId="15C58E02" w14:textId="46D2869A" w:rsidR="00C5303C" w:rsidRPr="00C50231" w:rsidRDefault="00C5303C" w:rsidP="001C47F4">
            <w:pPr>
              <w:keepNext/>
              <w:rPr>
                <w:b/>
                <w:sz w:val="22"/>
                <w:szCs w:val="22"/>
              </w:rPr>
            </w:pPr>
            <w:r>
              <w:rPr>
                <w:b/>
                <w:sz w:val="22"/>
                <w:szCs w:val="22"/>
              </w:rPr>
              <w:t>Dry Creek</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B810B96" w14:textId="55D74F48" w:rsidR="00C5303C" w:rsidRPr="001C47F4" w:rsidRDefault="00C5303C" w:rsidP="001C47F4">
            <w:pPr>
              <w:keepNext/>
              <w:rPr>
                <w:b/>
                <w:sz w:val="22"/>
                <w:szCs w:val="22"/>
              </w:rPr>
            </w:pPr>
            <w:r>
              <w:rPr>
                <w:b/>
                <w:sz w:val="22"/>
                <w:szCs w:val="22"/>
              </w:rPr>
              <w:t>Shamrock</w:t>
            </w:r>
          </w:p>
        </w:tc>
      </w:tr>
      <w:tr w:rsidR="0075247D" w:rsidRPr="00C50231" w14:paraId="6FADBF5E" w14:textId="66A189C5"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38019310" w14:textId="77777777" w:rsidR="0075247D" w:rsidRPr="001C47F4" w:rsidRDefault="0075247D" w:rsidP="0075247D">
            <w:pPr>
              <w:jc w:val="center"/>
              <w:rPr>
                <w:sz w:val="22"/>
                <w:szCs w:val="22"/>
              </w:rPr>
            </w:pPr>
            <w:r w:rsidRPr="001C47F4">
              <w:rPr>
                <w:sz w:val="22"/>
                <w:szCs w:val="22"/>
              </w:rPr>
              <w:t>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428E8C3" w14:textId="6441F3BC"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BBD4CB0" w14:textId="366C603A"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C1F097" w14:textId="485C7ACA"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0EB389F" w14:textId="2F26D759"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739EB6" w14:textId="235592EE" w:rsidR="0075247D" w:rsidRPr="001C47F4" w:rsidRDefault="0075247D" w:rsidP="0075247D">
            <w:pPr>
              <w:jc w:val="center"/>
              <w:rPr>
                <w:color w:val="000000"/>
                <w:sz w:val="22"/>
                <w:szCs w:val="22"/>
                <w:highlight w:val="yellow"/>
              </w:rPr>
            </w:pPr>
            <w:r>
              <w:t>REDACTED</w:t>
            </w:r>
          </w:p>
        </w:tc>
      </w:tr>
      <w:tr w:rsidR="0075247D" w:rsidRPr="00C50231" w14:paraId="57FDF681" w14:textId="525512CA"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77936C63" w14:textId="77777777" w:rsidR="0075247D" w:rsidRPr="001C47F4" w:rsidRDefault="0075247D" w:rsidP="0075247D">
            <w:pPr>
              <w:jc w:val="center"/>
              <w:rPr>
                <w:sz w:val="22"/>
                <w:szCs w:val="22"/>
              </w:rPr>
            </w:pPr>
            <w:r w:rsidRPr="001C47F4">
              <w:rPr>
                <w:sz w:val="22"/>
                <w:szCs w:val="22"/>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8422E37" w14:textId="101FEB63"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386B409" w14:textId="0253BFDF"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9117DF" w14:textId="7B7ABB39"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4567DA8" w14:textId="6F8F4412"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DB1F9E3" w14:textId="02B831CB" w:rsidR="0075247D" w:rsidRPr="001C47F4" w:rsidRDefault="0075247D" w:rsidP="0075247D">
            <w:pPr>
              <w:jc w:val="center"/>
              <w:rPr>
                <w:color w:val="000000"/>
                <w:sz w:val="22"/>
                <w:szCs w:val="22"/>
                <w:highlight w:val="yellow"/>
              </w:rPr>
            </w:pPr>
            <w:r>
              <w:t>REDACTED</w:t>
            </w:r>
          </w:p>
        </w:tc>
      </w:tr>
      <w:tr w:rsidR="0075247D" w:rsidRPr="00C50231" w14:paraId="20E1100D" w14:textId="403B2F38"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44E69758" w14:textId="77777777" w:rsidR="0075247D" w:rsidRPr="001C47F4" w:rsidRDefault="0075247D" w:rsidP="0075247D">
            <w:pPr>
              <w:jc w:val="center"/>
              <w:rPr>
                <w:sz w:val="22"/>
                <w:szCs w:val="22"/>
              </w:rPr>
            </w:pPr>
            <w:r w:rsidRPr="001C47F4">
              <w:rPr>
                <w:sz w:val="22"/>
                <w:szCs w:val="22"/>
              </w:rPr>
              <w:t>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1B7EE96" w14:textId="1B89CBA0"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4BC9680" w14:textId="7DB65775"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6139C40" w14:textId="37D6BDCF"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38C1EBD" w14:textId="5B9AB6EF"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D48D4B2" w14:textId="0FB1C68A" w:rsidR="0075247D" w:rsidRPr="001C47F4" w:rsidRDefault="0075247D" w:rsidP="0075247D">
            <w:pPr>
              <w:jc w:val="center"/>
              <w:rPr>
                <w:color w:val="000000"/>
                <w:sz w:val="22"/>
                <w:szCs w:val="22"/>
                <w:highlight w:val="yellow"/>
              </w:rPr>
            </w:pPr>
            <w:r>
              <w:t>REDACTED</w:t>
            </w:r>
          </w:p>
        </w:tc>
      </w:tr>
      <w:tr w:rsidR="0075247D" w:rsidRPr="00C50231" w14:paraId="2F29BE1E" w14:textId="47308C04"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7531845B" w14:textId="77777777" w:rsidR="0075247D" w:rsidRPr="001C47F4" w:rsidRDefault="0075247D" w:rsidP="0075247D">
            <w:pPr>
              <w:jc w:val="center"/>
              <w:rPr>
                <w:sz w:val="22"/>
                <w:szCs w:val="22"/>
              </w:rPr>
            </w:pPr>
            <w:r w:rsidRPr="001C47F4">
              <w:rPr>
                <w:sz w:val="22"/>
                <w:szCs w:val="22"/>
              </w:rPr>
              <w:t>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88D32D3" w14:textId="3CE88B6E"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E10EA97" w14:textId="3984008A"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7CE8CB6" w14:textId="5E41FB93"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80AAD85" w14:textId="24C44979"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7AF9BC3" w14:textId="3513F4DD" w:rsidR="0075247D" w:rsidRPr="001C47F4" w:rsidRDefault="0075247D" w:rsidP="0075247D">
            <w:pPr>
              <w:jc w:val="center"/>
              <w:rPr>
                <w:color w:val="000000"/>
                <w:sz w:val="22"/>
                <w:szCs w:val="22"/>
                <w:highlight w:val="yellow"/>
              </w:rPr>
            </w:pPr>
            <w:r>
              <w:t>REDACTED</w:t>
            </w:r>
          </w:p>
        </w:tc>
      </w:tr>
      <w:tr w:rsidR="0075247D" w:rsidRPr="00C50231" w14:paraId="1E4CE60F" w14:textId="212483CA"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6F6F4B7A" w14:textId="77777777" w:rsidR="0075247D" w:rsidRPr="001C47F4" w:rsidRDefault="0075247D" w:rsidP="0075247D">
            <w:pPr>
              <w:jc w:val="center"/>
              <w:rPr>
                <w:sz w:val="22"/>
                <w:szCs w:val="22"/>
              </w:rPr>
            </w:pPr>
            <w:r w:rsidRPr="001C47F4">
              <w:rPr>
                <w:sz w:val="22"/>
                <w:szCs w:val="22"/>
              </w:rPr>
              <w:t>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3BE7165" w14:textId="0585EF92"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4CC9CE7" w14:textId="09CF7282"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1AA035E" w14:textId="23E2AE10"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6848733" w14:textId="4C101688"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BAF8B92" w14:textId="40B11151" w:rsidR="0075247D" w:rsidRPr="001C47F4" w:rsidRDefault="0075247D" w:rsidP="0075247D">
            <w:pPr>
              <w:jc w:val="center"/>
              <w:rPr>
                <w:color w:val="000000"/>
                <w:sz w:val="22"/>
                <w:szCs w:val="22"/>
                <w:highlight w:val="yellow"/>
              </w:rPr>
            </w:pPr>
            <w:r>
              <w:t>REDACTED</w:t>
            </w:r>
          </w:p>
        </w:tc>
      </w:tr>
      <w:tr w:rsidR="0075247D" w:rsidRPr="00C50231" w14:paraId="380635C8" w14:textId="11BF5F50"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07229B3B" w14:textId="77777777" w:rsidR="0075247D" w:rsidRPr="001C47F4" w:rsidRDefault="0075247D" w:rsidP="0075247D">
            <w:pPr>
              <w:jc w:val="center"/>
              <w:rPr>
                <w:sz w:val="22"/>
                <w:szCs w:val="22"/>
              </w:rPr>
            </w:pPr>
            <w:r w:rsidRPr="001C47F4">
              <w:rPr>
                <w:sz w:val="22"/>
                <w:szCs w:val="22"/>
              </w:rPr>
              <w:t>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98CBFB1" w14:textId="223E1960"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ED63BCC" w14:textId="25E7E0DE"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9DBF5E" w14:textId="0C3DFC0F"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88FA8A0" w14:textId="6B08B22E"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5A9C860" w14:textId="5A46DBA7" w:rsidR="0075247D" w:rsidRPr="001C47F4" w:rsidRDefault="0075247D" w:rsidP="0075247D">
            <w:pPr>
              <w:jc w:val="center"/>
              <w:rPr>
                <w:color w:val="000000"/>
                <w:sz w:val="22"/>
                <w:szCs w:val="22"/>
                <w:highlight w:val="yellow"/>
              </w:rPr>
            </w:pPr>
            <w:r>
              <w:t>REDACTED</w:t>
            </w:r>
          </w:p>
        </w:tc>
      </w:tr>
      <w:tr w:rsidR="0075247D" w:rsidRPr="00C50231" w14:paraId="1A369E40" w14:textId="380556A4"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6149F872" w14:textId="77777777" w:rsidR="0075247D" w:rsidRPr="001C47F4" w:rsidRDefault="0075247D" w:rsidP="0075247D">
            <w:pPr>
              <w:jc w:val="center"/>
              <w:rPr>
                <w:sz w:val="22"/>
                <w:szCs w:val="22"/>
              </w:rPr>
            </w:pPr>
            <w:r w:rsidRPr="001C47F4">
              <w:rPr>
                <w:sz w:val="22"/>
                <w:szCs w:val="22"/>
              </w:rPr>
              <w:t>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B0543AB" w14:textId="5F2082B0"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DE1ED60" w14:textId="61F50A6F"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AAEFF10" w14:textId="0CA86B9B"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F32FED7" w14:textId="282C1C95"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DCD0F7E" w14:textId="2F50CA6F" w:rsidR="0075247D" w:rsidRPr="001C47F4" w:rsidRDefault="0075247D" w:rsidP="0075247D">
            <w:pPr>
              <w:jc w:val="center"/>
              <w:rPr>
                <w:color w:val="000000"/>
                <w:sz w:val="22"/>
                <w:szCs w:val="22"/>
                <w:highlight w:val="yellow"/>
              </w:rPr>
            </w:pPr>
            <w:r>
              <w:t>REDACTED</w:t>
            </w:r>
          </w:p>
        </w:tc>
      </w:tr>
      <w:tr w:rsidR="0075247D" w:rsidRPr="00C50231" w14:paraId="25A60457" w14:textId="1A0E1684"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3C61CC4D" w14:textId="77777777" w:rsidR="0075247D" w:rsidRPr="001C47F4" w:rsidRDefault="0075247D" w:rsidP="0075247D">
            <w:pPr>
              <w:jc w:val="center"/>
              <w:rPr>
                <w:sz w:val="22"/>
                <w:szCs w:val="22"/>
              </w:rPr>
            </w:pPr>
            <w:r w:rsidRPr="001C47F4">
              <w:rPr>
                <w:sz w:val="22"/>
                <w:szCs w:val="22"/>
              </w:rPr>
              <w:t>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CBB9B1F" w14:textId="7C79C744"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4D83913" w14:textId="1CC44543"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B0902F3" w14:textId="6BDA0793"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3C4F825" w14:textId="2BE49413"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EE771A7" w14:textId="51E7FACC" w:rsidR="0075247D" w:rsidRPr="001C47F4" w:rsidRDefault="0075247D" w:rsidP="0075247D">
            <w:pPr>
              <w:jc w:val="center"/>
              <w:rPr>
                <w:color w:val="000000"/>
                <w:sz w:val="22"/>
                <w:szCs w:val="22"/>
                <w:highlight w:val="yellow"/>
              </w:rPr>
            </w:pPr>
            <w:r>
              <w:t>REDACTED</w:t>
            </w:r>
          </w:p>
        </w:tc>
      </w:tr>
      <w:tr w:rsidR="0075247D" w:rsidRPr="00C50231" w14:paraId="2761A9C0" w14:textId="0DC3FF46"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6D0156D8" w14:textId="048589F6" w:rsidR="0075247D" w:rsidRPr="001C47F4" w:rsidRDefault="0075247D" w:rsidP="0075247D">
            <w:pPr>
              <w:jc w:val="center"/>
              <w:rPr>
                <w:sz w:val="22"/>
                <w:szCs w:val="22"/>
              </w:rPr>
            </w:pPr>
            <w:r w:rsidRPr="001C47F4">
              <w:rPr>
                <w:sz w:val="22"/>
                <w:szCs w:val="22"/>
              </w:rPr>
              <w:t>9</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BF97009" w14:textId="023E2E45"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AC999B4" w14:textId="4A14FEC5"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BC968FD" w14:textId="036B2DB9"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2B439A7" w14:textId="64143616"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76D831E" w14:textId="06D30AD4" w:rsidR="0075247D" w:rsidRPr="001C47F4" w:rsidRDefault="0075247D" w:rsidP="0075247D">
            <w:pPr>
              <w:jc w:val="center"/>
              <w:rPr>
                <w:color w:val="000000"/>
                <w:sz w:val="22"/>
                <w:szCs w:val="22"/>
                <w:highlight w:val="yellow"/>
              </w:rPr>
            </w:pPr>
            <w:r>
              <w:t>REDACTED</w:t>
            </w:r>
          </w:p>
        </w:tc>
      </w:tr>
      <w:tr w:rsidR="0075247D" w:rsidRPr="00C50231" w14:paraId="75253345" w14:textId="2801B006"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68B9EA70" w14:textId="77777777" w:rsidR="0075247D" w:rsidRPr="001C47F4" w:rsidRDefault="0075247D" w:rsidP="0075247D">
            <w:pPr>
              <w:jc w:val="center"/>
              <w:rPr>
                <w:sz w:val="22"/>
                <w:szCs w:val="22"/>
              </w:rPr>
            </w:pPr>
            <w:r w:rsidRPr="001C47F4">
              <w:rPr>
                <w:sz w:val="22"/>
                <w:szCs w:val="22"/>
              </w:rPr>
              <w:t>10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948FB5C" w14:textId="5C4874B6"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8F1FC2D" w14:textId="71400592"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48A87A1" w14:textId="5CE4293C"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7997D5C" w14:textId="2343E603"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F63B3AA" w14:textId="35D5924E" w:rsidR="0075247D" w:rsidRPr="001C47F4" w:rsidRDefault="0075247D" w:rsidP="0075247D">
            <w:pPr>
              <w:jc w:val="center"/>
              <w:rPr>
                <w:color w:val="000000"/>
                <w:sz w:val="22"/>
                <w:szCs w:val="22"/>
                <w:highlight w:val="yellow"/>
              </w:rPr>
            </w:pPr>
            <w:r>
              <w:t>REDACTED</w:t>
            </w:r>
          </w:p>
        </w:tc>
      </w:tr>
      <w:tr w:rsidR="0075247D" w:rsidRPr="00C50231" w14:paraId="72C25BCD" w14:textId="6D79F368"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2F2CC252" w14:textId="77777777" w:rsidR="0075247D" w:rsidRPr="001C47F4" w:rsidRDefault="0075247D" w:rsidP="0075247D">
            <w:pPr>
              <w:jc w:val="center"/>
              <w:rPr>
                <w:sz w:val="22"/>
                <w:szCs w:val="22"/>
              </w:rPr>
            </w:pPr>
            <w:r w:rsidRPr="001C47F4">
              <w:rPr>
                <w:sz w:val="22"/>
                <w:szCs w:val="22"/>
              </w:rPr>
              <w:t>11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AF94A56" w14:textId="6C6459FC"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9E44196" w14:textId="0A1D7450"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064639C" w14:textId="2989DDD4"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6239C98" w14:textId="51FABEB0"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3279F20" w14:textId="77778E11" w:rsidR="0075247D" w:rsidRPr="001C47F4" w:rsidRDefault="0075247D" w:rsidP="0075247D">
            <w:pPr>
              <w:jc w:val="center"/>
              <w:rPr>
                <w:color w:val="000000"/>
                <w:sz w:val="22"/>
                <w:szCs w:val="22"/>
                <w:highlight w:val="yellow"/>
              </w:rPr>
            </w:pPr>
            <w:r>
              <w:t>REDACTED</w:t>
            </w:r>
          </w:p>
        </w:tc>
      </w:tr>
      <w:tr w:rsidR="0075247D" w:rsidRPr="00C50231" w14:paraId="63B05910" w14:textId="79B4A580"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2548B086" w14:textId="77777777" w:rsidR="0075247D" w:rsidRPr="001C47F4" w:rsidRDefault="0075247D" w:rsidP="0075247D">
            <w:pPr>
              <w:jc w:val="center"/>
              <w:rPr>
                <w:sz w:val="22"/>
                <w:szCs w:val="22"/>
              </w:rPr>
            </w:pPr>
            <w:r w:rsidRPr="001C47F4">
              <w:rPr>
                <w:sz w:val="22"/>
                <w:szCs w:val="22"/>
              </w:rPr>
              <w:t>12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4D4BA4D" w14:textId="18CCC062"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AD2101D" w14:textId="5B5C0884"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C5633BD" w14:textId="5D4AE743"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2443BE6" w14:textId="078A180A"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0A8D1A1" w14:textId="4182B1E2" w:rsidR="0075247D" w:rsidRPr="001C47F4" w:rsidRDefault="0075247D" w:rsidP="0075247D">
            <w:pPr>
              <w:jc w:val="center"/>
              <w:rPr>
                <w:color w:val="000000"/>
                <w:sz w:val="22"/>
                <w:szCs w:val="22"/>
                <w:highlight w:val="yellow"/>
              </w:rPr>
            </w:pPr>
            <w:r>
              <w:t>REDACTED</w:t>
            </w:r>
          </w:p>
        </w:tc>
      </w:tr>
      <w:tr w:rsidR="0075247D" w:rsidRPr="00C50231" w14:paraId="3CC98BAC" w14:textId="45C2FD95"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7F559CBE" w14:textId="77777777" w:rsidR="0075247D" w:rsidRPr="001C47F4" w:rsidRDefault="0075247D" w:rsidP="0075247D">
            <w:pPr>
              <w:jc w:val="center"/>
              <w:rPr>
                <w:sz w:val="22"/>
                <w:szCs w:val="22"/>
              </w:rPr>
            </w:pPr>
            <w:r w:rsidRPr="001C47F4">
              <w:rPr>
                <w:sz w:val="22"/>
                <w:szCs w:val="22"/>
              </w:rPr>
              <w:t>13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000BF04" w14:textId="6BACB498"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2E98A06" w14:textId="74F04D14"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0DEC1A2" w14:textId="3FAAB175"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8B0EB33" w14:textId="52E797B9"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26B0E60" w14:textId="63449E40" w:rsidR="0075247D" w:rsidRPr="001C47F4" w:rsidRDefault="0075247D" w:rsidP="0075247D">
            <w:pPr>
              <w:jc w:val="center"/>
              <w:rPr>
                <w:color w:val="000000"/>
                <w:sz w:val="22"/>
                <w:szCs w:val="22"/>
                <w:highlight w:val="yellow"/>
              </w:rPr>
            </w:pPr>
            <w:r>
              <w:t>REDACTED</w:t>
            </w:r>
          </w:p>
        </w:tc>
      </w:tr>
      <w:tr w:rsidR="0075247D" w:rsidRPr="00C50231" w14:paraId="781566B9" w14:textId="2FF2FDF6"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1B0011FD" w14:textId="77777777" w:rsidR="0075247D" w:rsidRPr="001C47F4" w:rsidRDefault="0075247D" w:rsidP="0075247D">
            <w:pPr>
              <w:jc w:val="center"/>
              <w:rPr>
                <w:sz w:val="22"/>
                <w:szCs w:val="22"/>
              </w:rPr>
            </w:pPr>
            <w:r w:rsidRPr="001C47F4">
              <w:rPr>
                <w:sz w:val="22"/>
                <w:szCs w:val="22"/>
              </w:rPr>
              <w:t>14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C9A772" w14:textId="1A5B0292"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F5C3E93" w14:textId="781515F7"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662174" w14:textId="090B2D04"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EFC0F99" w14:textId="387EA496"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CBEDBD7" w14:textId="450A21EE" w:rsidR="0075247D" w:rsidRPr="001C47F4" w:rsidRDefault="0075247D" w:rsidP="0075247D">
            <w:pPr>
              <w:jc w:val="center"/>
              <w:rPr>
                <w:color w:val="000000"/>
                <w:sz w:val="22"/>
                <w:szCs w:val="22"/>
                <w:highlight w:val="yellow"/>
              </w:rPr>
            </w:pPr>
            <w:r>
              <w:t>REDACTED</w:t>
            </w:r>
          </w:p>
        </w:tc>
      </w:tr>
      <w:tr w:rsidR="0075247D" w:rsidRPr="00C50231" w14:paraId="1CD75F0D" w14:textId="2A41CA0A"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6812AD42" w14:textId="77777777" w:rsidR="0075247D" w:rsidRPr="001C47F4" w:rsidRDefault="0075247D" w:rsidP="0075247D">
            <w:pPr>
              <w:jc w:val="center"/>
              <w:rPr>
                <w:sz w:val="22"/>
                <w:szCs w:val="22"/>
              </w:rPr>
            </w:pPr>
            <w:r w:rsidRPr="001C47F4">
              <w:rPr>
                <w:sz w:val="22"/>
                <w:szCs w:val="22"/>
              </w:rPr>
              <w:t>15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52E9D69" w14:textId="795D46B3"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C07AD7A" w14:textId="6A5573BE"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82FACE0" w14:textId="5349E448"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5D16E41" w14:textId="6A68A7E1"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8DA61A" w14:textId="7C95E4AB" w:rsidR="0075247D" w:rsidRPr="001C47F4" w:rsidRDefault="0075247D" w:rsidP="0075247D">
            <w:pPr>
              <w:jc w:val="center"/>
              <w:rPr>
                <w:color w:val="000000"/>
                <w:sz w:val="22"/>
                <w:szCs w:val="22"/>
                <w:highlight w:val="yellow"/>
              </w:rPr>
            </w:pPr>
            <w:r>
              <w:t>REDACTED</w:t>
            </w:r>
          </w:p>
        </w:tc>
      </w:tr>
      <w:tr w:rsidR="0075247D" w:rsidRPr="00C50231" w14:paraId="7507149F" w14:textId="05BC897D"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0D66259B" w14:textId="77777777" w:rsidR="0075247D" w:rsidRPr="001C47F4" w:rsidRDefault="0075247D" w:rsidP="0075247D">
            <w:pPr>
              <w:jc w:val="center"/>
              <w:rPr>
                <w:sz w:val="22"/>
                <w:szCs w:val="22"/>
              </w:rPr>
            </w:pPr>
            <w:r w:rsidRPr="001C47F4">
              <w:rPr>
                <w:sz w:val="22"/>
                <w:szCs w:val="22"/>
              </w:rPr>
              <w:t>16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D3B6900" w14:textId="40598252"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2F1F3CA" w14:textId="7E5A826C"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58554F7" w14:textId="049254F5"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C712330" w14:textId="4F3D3217"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2BD6169" w14:textId="4AC5C73F" w:rsidR="0075247D" w:rsidRPr="001C47F4" w:rsidRDefault="0075247D" w:rsidP="0075247D">
            <w:pPr>
              <w:jc w:val="center"/>
              <w:rPr>
                <w:color w:val="000000"/>
                <w:sz w:val="22"/>
                <w:szCs w:val="22"/>
                <w:highlight w:val="yellow"/>
              </w:rPr>
            </w:pPr>
            <w:r>
              <w:t>REDACTED</w:t>
            </w:r>
          </w:p>
        </w:tc>
      </w:tr>
      <w:tr w:rsidR="0075247D" w:rsidRPr="00C50231" w14:paraId="354FC3E8" w14:textId="0745D238"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2BAF01B6" w14:textId="77777777" w:rsidR="0075247D" w:rsidRPr="001C47F4" w:rsidRDefault="0075247D" w:rsidP="0075247D">
            <w:pPr>
              <w:jc w:val="center"/>
              <w:rPr>
                <w:sz w:val="22"/>
                <w:szCs w:val="22"/>
              </w:rPr>
            </w:pPr>
            <w:r w:rsidRPr="001C47F4">
              <w:rPr>
                <w:sz w:val="22"/>
                <w:szCs w:val="22"/>
              </w:rPr>
              <w:t>17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E4F4EBE" w14:textId="45C87189"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258B52D" w14:textId="5081EB00"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29E9CC7" w14:textId="1D159217"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1376BCB" w14:textId="0DDC723D"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3E176F6" w14:textId="746BE6FD" w:rsidR="0075247D" w:rsidRPr="001C47F4" w:rsidRDefault="0075247D" w:rsidP="0075247D">
            <w:pPr>
              <w:jc w:val="center"/>
              <w:rPr>
                <w:color w:val="000000"/>
                <w:sz w:val="22"/>
                <w:szCs w:val="22"/>
                <w:highlight w:val="yellow"/>
              </w:rPr>
            </w:pPr>
            <w:r>
              <w:t>REDACTED</w:t>
            </w:r>
          </w:p>
        </w:tc>
      </w:tr>
      <w:tr w:rsidR="0075247D" w:rsidRPr="00C50231" w14:paraId="0597C325" w14:textId="05F885FD"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501B6BFA" w14:textId="77777777" w:rsidR="0075247D" w:rsidRPr="001C47F4" w:rsidRDefault="0075247D" w:rsidP="0075247D">
            <w:pPr>
              <w:jc w:val="center"/>
              <w:rPr>
                <w:sz w:val="22"/>
                <w:szCs w:val="22"/>
              </w:rPr>
            </w:pPr>
            <w:r w:rsidRPr="001C47F4">
              <w:rPr>
                <w:sz w:val="22"/>
                <w:szCs w:val="22"/>
              </w:rPr>
              <w:t>18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6F4AF6C" w14:textId="7D02A4AA"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3C84025" w14:textId="4DB39496"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4208EF8" w14:textId="08D13291"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10FE296" w14:textId="5E2CF3AE"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70A47B6" w14:textId="34C3B9E0" w:rsidR="0075247D" w:rsidRPr="001C47F4" w:rsidRDefault="0075247D" w:rsidP="0075247D">
            <w:pPr>
              <w:jc w:val="center"/>
              <w:rPr>
                <w:color w:val="000000"/>
                <w:sz w:val="22"/>
                <w:szCs w:val="22"/>
                <w:highlight w:val="yellow"/>
              </w:rPr>
            </w:pPr>
            <w:r>
              <w:t>REDACTED</w:t>
            </w:r>
          </w:p>
        </w:tc>
      </w:tr>
      <w:tr w:rsidR="0075247D" w:rsidRPr="00C50231" w14:paraId="59B300A0" w14:textId="62CB1868"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2A2603DC" w14:textId="77777777" w:rsidR="0075247D" w:rsidRPr="001C47F4" w:rsidRDefault="0075247D" w:rsidP="0075247D">
            <w:pPr>
              <w:jc w:val="center"/>
              <w:rPr>
                <w:sz w:val="22"/>
                <w:szCs w:val="22"/>
              </w:rPr>
            </w:pPr>
            <w:r w:rsidRPr="001C47F4">
              <w:rPr>
                <w:sz w:val="22"/>
                <w:szCs w:val="22"/>
              </w:rPr>
              <w:t>19</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ACDD4D" w14:textId="217CA865"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A3BD877" w14:textId="37D8447B"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6661B9F" w14:textId="41ED00FE"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D2D846F" w14:textId="3168367A"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F6EE937" w14:textId="510CE70F" w:rsidR="0075247D" w:rsidRPr="001C47F4" w:rsidRDefault="0075247D" w:rsidP="0075247D">
            <w:pPr>
              <w:jc w:val="center"/>
              <w:rPr>
                <w:color w:val="000000"/>
                <w:sz w:val="22"/>
                <w:szCs w:val="22"/>
                <w:highlight w:val="yellow"/>
              </w:rPr>
            </w:pPr>
            <w:r>
              <w:t>REDACTED</w:t>
            </w:r>
          </w:p>
        </w:tc>
      </w:tr>
      <w:tr w:rsidR="0075247D" w:rsidRPr="00C50231" w14:paraId="522811FF" w14:textId="186B6190"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432BD71C" w14:textId="77777777" w:rsidR="0075247D" w:rsidRPr="001C47F4" w:rsidRDefault="0075247D" w:rsidP="0075247D">
            <w:pPr>
              <w:jc w:val="center"/>
              <w:rPr>
                <w:sz w:val="22"/>
                <w:szCs w:val="22"/>
              </w:rPr>
            </w:pPr>
            <w:r w:rsidRPr="001C47F4">
              <w:rPr>
                <w:sz w:val="22"/>
                <w:szCs w:val="22"/>
              </w:rPr>
              <w:t>20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029D56E" w14:textId="416E82B3"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66983D5" w14:textId="5AC1E03F"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1F20325" w14:textId="45AC3FDD" w:rsidR="0075247D" w:rsidRPr="00F138E1" w:rsidRDefault="0075247D" w:rsidP="0075247D">
            <w:pPr>
              <w:jc w:val="cente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A72072C" w14:textId="16615620" w:rsidR="0075247D" w:rsidRPr="00F138E1" w:rsidRDefault="0075247D" w:rsidP="0075247D">
            <w:pPr>
              <w:jc w:val="center"/>
              <w:rPr>
                <w:color w:val="000000"/>
                <w:sz w:val="22"/>
                <w:szCs w:val="22"/>
                <w:highlight w:val="yellow"/>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3E836FA" w14:textId="32719FFA" w:rsidR="0075247D" w:rsidRPr="001C47F4" w:rsidRDefault="0075247D" w:rsidP="0075247D">
            <w:pPr>
              <w:jc w:val="center"/>
              <w:rPr>
                <w:color w:val="000000"/>
                <w:sz w:val="22"/>
                <w:szCs w:val="22"/>
                <w:highlight w:val="yellow"/>
              </w:rPr>
            </w:pPr>
            <w:r>
              <w:t>REDACTED</w:t>
            </w:r>
          </w:p>
        </w:tc>
      </w:tr>
      <w:tr w:rsidR="0075247D" w:rsidRPr="00C50231" w14:paraId="07188E11" w14:textId="62BB4106"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66474E7C" w14:textId="77777777" w:rsidR="0075247D" w:rsidRPr="001C47F4" w:rsidRDefault="0075247D" w:rsidP="0075247D">
            <w:pPr>
              <w:jc w:val="center"/>
              <w:rPr>
                <w:sz w:val="22"/>
                <w:szCs w:val="22"/>
              </w:rPr>
            </w:pPr>
            <w:r w:rsidRPr="001C47F4">
              <w:rPr>
                <w:sz w:val="22"/>
                <w:szCs w:val="22"/>
              </w:rPr>
              <w:t>21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A20CF76" w14:textId="4D0C24C8"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B95BCF9" w14:textId="45917659"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27FFD1A"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AE3D3CF" w14:textId="77777777" w:rsidR="0075247D" w:rsidRPr="00F138E1" w:rsidRDefault="0075247D" w:rsidP="0075247D">
            <w:pPr>
              <w:jc w:val="center"/>
              <w:rPr>
                <w:color w:val="000000"/>
                <w:sz w:val="22"/>
                <w:szCs w:val="22"/>
                <w:highlight w:val="yellow"/>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589AC5A2" w14:textId="0CFD9408" w:rsidR="0075247D" w:rsidRPr="001C47F4" w:rsidRDefault="0075247D" w:rsidP="0075247D">
            <w:pPr>
              <w:jc w:val="center"/>
              <w:rPr>
                <w:color w:val="000000"/>
                <w:sz w:val="22"/>
                <w:szCs w:val="22"/>
                <w:highlight w:val="yellow"/>
              </w:rPr>
            </w:pPr>
          </w:p>
        </w:tc>
      </w:tr>
      <w:tr w:rsidR="0075247D" w:rsidRPr="00C50231" w14:paraId="210C192B" w14:textId="3CFF7572"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540ECAB6" w14:textId="77777777" w:rsidR="0075247D" w:rsidRPr="001C47F4" w:rsidRDefault="0075247D" w:rsidP="0075247D">
            <w:pPr>
              <w:jc w:val="center"/>
              <w:rPr>
                <w:sz w:val="22"/>
                <w:szCs w:val="22"/>
              </w:rPr>
            </w:pPr>
            <w:r w:rsidRPr="001C47F4">
              <w:rPr>
                <w:sz w:val="22"/>
                <w:szCs w:val="22"/>
              </w:rPr>
              <w:t>22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B219F22" w14:textId="25AE8B0B"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5C2009A" w14:textId="618C5C5D"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EF40210"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46D7C9B"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56838C38" w14:textId="245313E2" w:rsidR="0075247D" w:rsidRPr="001C47F4" w:rsidRDefault="0075247D" w:rsidP="0075247D">
            <w:pPr>
              <w:jc w:val="center"/>
              <w:rPr>
                <w:color w:val="000000"/>
                <w:sz w:val="22"/>
                <w:szCs w:val="22"/>
                <w:highlight w:val="yellow"/>
              </w:rPr>
            </w:pPr>
          </w:p>
        </w:tc>
      </w:tr>
      <w:tr w:rsidR="0075247D" w:rsidRPr="00C50231" w14:paraId="2F4A31CF" w14:textId="2E3C2C9B"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682E3C45" w14:textId="77777777" w:rsidR="0075247D" w:rsidRPr="001C47F4" w:rsidRDefault="0075247D" w:rsidP="0075247D">
            <w:pPr>
              <w:jc w:val="center"/>
              <w:rPr>
                <w:sz w:val="22"/>
                <w:szCs w:val="22"/>
              </w:rPr>
            </w:pPr>
            <w:r w:rsidRPr="001C47F4">
              <w:rPr>
                <w:sz w:val="22"/>
                <w:szCs w:val="22"/>
              </w:rPr>
              <w:t>23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ACF702B" w14:textId="3C151F03"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C05A632" w14:textId="4DA45572"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09E356F"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41E29AF"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50CAFF01" w14:textId="63D690D2" w:rsidR="0075247D" w:rsidRPr="001C47F4" w:rsidRDefault="0075247D" w:rsidP="0075247D">
            <w:pPr>
              <w:jc w:val="center"/>
              <w:rPr>
                <w:color w:val="000000"/>
                <w:sz w:val="22"/>
                <w:szCs w:val="22"/>
                <w:highlight w:val="yellow"/>
              </w:rPr>
            </w:pPr>
          </w:p>
        </w:tc>
      </w:tr>
      <w:tr w:rsidR="0075247D" w:rsidRPr="00C50231" w14:paraId="31EB948B" w14:textId="602DEFFC"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4C65AE6F" w14:textId="77777777" w:rsidR="0075247D" w:rsidRPr="001C47F4" w:rsidRDefault="0075247D" w:rsidP="0075247D">
            <w:pPr>
              <w:jc w:val="center"/>
              <w:rPr>
                <w:sz w:val="22"/>
                <w:szCs w:val="22"/>
              </w:rPr>
            </w:pPr>
            <w:r w:rsidRPr="001C47F4">
              <w:rPr>
                <w:sz w:val="22"/>
                <w:szCs w:val="22"/>
              </w:rPr>
              <w:t>24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6E44A2" w14:textId="4D5B13EB"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2BF5E00" w14:textId="1A495E83"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5737501"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CE8829D"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73E1C92A" w14:textId="3BFC0317" w:rsidR="0075247D" w:rsidRPr="001C47F4" w:rsidRDefault="0075247D" w:rsidP="0075247D">
            <w:pPr>
              <w:jc w:val="center"/>
              <w:rPr>
                <w:color w:val="000000"/>
                <w:sz w:val="22"/>
                <w:szCs w:val="22"/>
                <w:highlight w:val="yellow"/>
              </w:rPr>
            </w:pPr>
          </w:p>
        </w:tc>
      </w:tr>
      <w:tr w:rsidR="0075247D" w:rsidRPr="00C50231" w14:paraId="766874CB" w14:textId="3ED1B1D1"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35AE5929" w14:textId="77777777" w:rsidR="0075247D" w:rsidRPr="001C47F4" w:rsidRDefault="0075247D" w:rsidP="0075247D">
            <w:pPr>
              <w:jc w:val="center"/>
              <w:rPr>
                <w:sz w:val="22"/>
                <w:szCs w:val="22"/>
              </w:rPr>
            </w:pPr>
            <w:r w:rsidRPr="001C47F4">
              <w:rPr>
                <w:sz w:val="22"/>
                <w:szCs w:val="22"/>
              </w:rPr>
              <w:t>25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A082F8E" w14:textId="446363BF" w:rsidR="0075247D" w:rsidRPr="00F138E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A97C290" w14:textId="3466F616"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D59B39C"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0A714AD"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7C9F4A5D" w14:textId="5B50068F" w:rsidR="0075247D" w:rsidRPr="001C47F4" w:rsidRDefault="0075247D" w:rsidP="0075247D">
            <w:pPr>
              <w:jc w:val="center"/>
              <w:rPr>
                <w:color w:val="000000"/>
                <w:sz w:val="22"/>
                <w:szCs w:val="22"/>
                <w:highlight w:val="yellow"/>
              </w:rPr>
            </w:pPr>
          </w:p>
        </w:tc>
      </w:tr>
      <w:tr w:rsidR="0075247D" w:rsidRPr="00C50231" w14:paraId="3645E94A" w14:textId="3ACBDEA9"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20558FF3" w14:textId="77777777" w:rsidR="0075247D" w:rsidRPr="001C47F4" w:rsidRDefault="0075247D" w:rsidP="0075247D">
            <w:pPr>
              <w:jc w:val="center"/>
              <w:rPr>
                <w:sz w:val="22"/>
                <w:szCs w:val="22"/>
              </w:rPr>
            </w:pPr>
            <w:r w:rsidRPr="001C47F4">
              <w:rPr>
                <w:sz w:val="22"/>
                <w:szCs w:val="22"/>
              </w:rPr>
              <w:t>26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7A87DAD9" w14:textId="7B84B34F" w:rsidR="0075247D" w:rsidRPr="00663890"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96CF2D1" w14:textId="08760E9F"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F7ECB05"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1A81E37"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0D802F07" w14:textId="2CDFCB52" w:rsidR="0075247D" w:rsidRPr="001C47F4" w:rsidRDefault="0075247D" w:rsidP="0075247D">
            <w:pPr>
              <w:jc w:val="center"/>
              <w:rPr>
                <w:color w:val="000000"/>
                <w:sz w:val="22"/>
                <w:szCs w:val="22"/>
                <w:highlight w:val="yellow"/>
              </w:rPr>
            </w:pPr>
          </w:p>
        </w:tc>
      </w:tr>
      <w:tr w:rsidR="0075247D" w:rsidRPr="00C50231" w14:paraId="1E6BCC21" w14:textId="6EBC7772"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33138457" w14:textId="77777777" w:rsidR="0075247D" w:rsidRPr="001C47F4" w:rsidRDefault="0075247D" w:rsidP="0075247D">
            <w:pPr>
              <w:jc w:val="center"/>
              <w:rPr>
                <w:sz w:val="22"/>
                <w:szCs w:val="22"/>
              </w:rPr>
            </w:pPr>
            <w:r w:rsidRPr="001C47F4">
              <w:rPr>
                <w:sz w:val="22"/>
                <w:szCs w:val="22"/>
              </w:rPr>
              <w:t>27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5FA76BFB" w14:textId="453C15FB" w:rsidR="0075247D" w:rsidRPr="004F11FB"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DFF3887" w14:textId="25295F47"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CE3119B"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F3A406A"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0EC8C9E3" w14:textId="2D240E6F" w:rsidR="0075247D" w:rsidRPr="001C47F4" w:rsidRDefault="0075247D" w:rsidP="0075247D">
            <w:pPr>
              <w:jc w:val="center"/>
              <w:rPr>
                <w:color w:val="000000"/>
                <w:sz w:val="22"/>
                <w:szCs w:val="22"/>
                <w:highlight w:val="yellow"/>
              </w:rPr>
            </w:pPr>
          </w:p>
        </w:tc>
      </w:tr>
      <w:tr w:rsidR="0075247D" w:rsidRPr="00C50231" w14:paraId="2B15F9B7" w14:textId="47755837"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2882CAFB" w14:textId="77777777" w:rsidR="0075247D" w:rsidRPr="001C47F4" w:rsidRDefault="0075247D" w:rsidP="0075247D">
            <w:pPr>
              <w:jc w:val="center"/>
              <w:rPr>
                <w:sz w:val="22"/>
                <w:szCs w:val="22"/>
              </w:rPr>
            </w:pPr>
            <w:r w:rsidRPr="001C47F4">
              <w:rPr>
                <w:sz w:val="22"/>
                <w:szCs w:val="22"/>
              </w:rPr>
              <w:t>28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083EDF27" w14:textId="43CAA65D" w:rsidR="0075247D" w:rsidRPr="004F11FB"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084302C" w14:textId="07926745"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F240CB4"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99AAB9D"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3CB1D37A" w14:textId="505D2689" w:rsidR="0075247D" w:rsidRPr="001C47F4" w:rsidRDefault="0075247D" w:rsidP="0075247D">
            <w:pPr>
              <w:jc w:val="center"/>
              <w:rPr>
                <w:color w:val="000000"/>
                <w:sz w:val="22"/>
                <w:szCs w:val="22"/>
                <w:highlight w:val="yellow"/>
              </w:rPr>
            </w:pPr>
          </w:p>
        </w:tc>
      </w:tr>
      <w:tr w:rsidR="0075247D" w:rsidRPr="00C50231" w14:paraId="587E92E5" w14:textId="7AACC230"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0519A572" w14:textId="77777777" w:rsidR="0075247D" w:rsidRPr="001C47F4" w:rsidRDefault="0075247D" w:rsidP="0075247D">
            <w:pPr>
              <w:jc w:val="center"/>
              <w:rPr>
                <w:sz w:val="22"/>
                <w:szCs w:val="22"/>
              </w:rPr>
            </w:pPr>
            <w:r w:rsidRPr="001C47F4">
              <w:rPr>
                <w:sz w:val="22"/>
                <w:szCs w:val="22"/>
              </w:rPr>
              <w:t>29</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73EC1F7C" w14:textId="1BDD62C1" w:rsidR="0075247D" w:rsidRPr="004F11FB"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12B5C1F" w14:textId="405317A6"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360BFF"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E5CFA27"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43ECB039" w14:textId="17225684" w:rsidR="0075247D" w:rsidRPr="001C47F4" w:rsidRDefault="0075247D" w:rsidP="0075247D">
            <w:pPr>
              <w:jc w:val="center"/>
              <w:rPr>
                <w:color w:val="000000"/>
                <w:sz w:val="22"/>
                <w:szCs w:val="22"/>
                <w:highlight w:val="yellow"/>
              </w:rPr>
            </w:pPr>
          </w:p>
        </w:tc>
      </w:tr>
      <w:tr w:rsidR="0075247D" w:rsidRPr="00C50231" w14:paraId="583840E5" w14:textId="0A3554A0" w:rsidTr="0075247D">
        <w:trPr>
          <w:jc w:val="center"/>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0AD6473E" w14:textId="77777777" w:rsidR="0075247D" w:rsidRPr="001C47F4" w:rsidRDefault="0075247D" w:rsidP="0075247D">
            <w:pPr>
              <w:jc w:val="center"/>
              <w:rPr>
                <w:sz w:val="22"/>
                <w:szCs w:val="22"/>
              </w:rPr>
            </w:pPr>
            <w:r w:rsidRPr="001C47F4">
              <w:rPr>
                <w:sz w:val="22"/>
                <w:szCs w:val="22"/>
              </w:rPr>
              <w:t>30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1CD56DEF" w14:textId="6D55D08E" w:rsidR="0075247D" w:rsidRPr="004F11FB"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E36D3D8" w14:textId="142AB7A6" w:rsidR="0075247D" w:rsidRPr="00C50231" w:rsidRDefault="0075247D" w:rsidP="0075247D">
            <w:pPr>
              <w:jc w:val="center"/>
              <w:rPr>
                <w:color w:val="000000"/>
                <w:sz w:val="22"/>
                <w:szCs w:val="22"/>
              </w:rPr>
            </w:pPr>
            <w:r>
              <w:t>REDACTED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0C1CB2E"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3B74D60" w14:textId="77777777" w:rsidR="0075247D" w:rsidRPr="00C50231" w:rsidRDefault="0075247D" w:rsidP="0075247D">
            <w:pPr>
              <w:jc w:val="center"/>
              <w:rPr>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14:paraId="5977C627" w14:textId="102ECB6E" w:rsidR="0075247D" w:rsidRPr="001C47F4" w:rsidRDefault="0075247D" w:rsidP="0075247D">
            <w:pPr>
              <w:jc w:val="center"/>
              <w:rPr>
                <w:color w:val="000000"/>
                <w:sz w:val="22"/>
                <w:szCs w:val="22"/>
                <w:highlight w:val="yellow"/>
              </w:rPr>
            </w:pPr>
          </w:p>
        </w:tc>
      </w:tr>
    </w:tbl>
    <w:p w14:paraId="63C12360" w14:textId="00BB69CF" w:rsidR="00B10A3E" w:rsidRDefault="00B10A3E" w:rsidP="00B10A3E">
      <w:pPr>
        <w:spacing w:line="360" w:lineRule="auto"/>
        <w:rPr>
          <w:rFonts w:eastAsia="Calibri"/>
          <w:sz w:val="24"/>
          <w:szCs w:val="24"/>
          <w:highlight w:val="yellow"/>
        </w:rPr>
      </w:pPr>
    </w:p>
    <w:p w14:paraId="471AC5FA" w14:textId="77777777" w:rsidR="00C50231" w:rsidRDefault="00C50231" w:rsidP="00B10A3E">
      <w:pPr>
        <w:spacing w:line="360" w:lineRule="auto"/>
        <w:rPr>
          <w:rFonts w:eastAsia="Calibri"/>
          <w:sz w:val="24"/>
          <w:szCs w:val="24"/>
          <w:highlight w:val="yellow"/>
        </w:rPr>
        <w:sectPr w:rsidR="00C50231" w:rsidSect="000D613E">
          <w:headerReference w:type="default" r:id="rId18"/>
          <w:footerReference w:type="default" r:id="rId19"/>
          <w:headerReference w:type="first" r:id="rId20"/>
          <w:pgSz w:w="12240" w:h="15840" w:orient="portrait" w:code="1"/>
          <w:pgMar w:top="1440" w:right="1440" w:bottom="630" w:left="1440" w:header="576" w:footer="720" w:gutter="0"/>
          <w:cols w:space="720"/>
          <w:noEndnote/>
          <w:docGrid w:linePitch="272"/>
          <w:sectPrChange w:id="18" w:author="Pryor, Allison" w:date="2025-06-03T17:20:00Z">
            <w:sectPr w:rsidR="00C50231" w:rsidSect="000D613E">
              <w:pgSz w:w="15840" w:h="12240" w:orient="landscape"/>
              <w:pgMar w:top="1440" w:right="1440" w:bottom="1440" w:left="630" w:header="576" w:footer="720" w:gutter="0"/>
            </w:sectPr>
          </w:sectPrChange>
        </w:sectPr>
      </w:pPr>
    </w:p>
    <w:p w14:paraId="03770AD5" w14:textId="1951C645" w:rsidR="00B10A3E" w:rsidRPr="00800DFB" w:rsidRDefault="00580390" w:rsidP="001C47F4">
      <w:pPr>
        <w:spacing w:line="360" w:lineRule="auto"/>
        <w:ind w:firstLine="720"/>
        <w:jc w:val="both"/>
        <w:rPr>
          <w:rFonts w:eastAsia="Calibri"/>
          <w:b/>
          <w:bCs/>
          <w:sz w:val="24"/>
          <w:szCs w:val="24"/>
        </w:rPr>
      </w:pPr>
      <w:bookmarkStart w:id="19" w:name="_Hlk20490616"/>
      <w:r w:rsidRPr="21F23B36">
        <w:rPr>
          <w:sz w:val="24"/>
          <w:szCs w:val="24"/>
        </w:rPr>
        <w:lastRenderedPageBreak/>
        <w:t xml:space="preserve">The average cost of the </w:t>
      </w:r>
      <w:r w:rsidR="00F92BF1" w:rsidRPr="21F23B36">
        <w:rPr>
          <w:sz w:val="24"/>
          <w:szCs w:val="24"/>
        </w:rPr>
        <w:t>Utility Scale Renewable</w:t>
      </w:r>
      <w:r w:rsidRPr="21F23B36">
        <w:rPr>
          <w:sz w:val="24"/>
          <w:szCs w:val="24"/>
        </w:rPr>
        <w:t xml:space="preserve"> PPAs over </w:t>
      </w:r>
      <w:r w:rsidR="3B112DB0" w:rsidRPr="21F23B36">
        <w:rPr>
          <w:sz w:val="24"/>
          <w:szCs w:val="24"/>
        </w:rPr>
        <w:t xml:space="preserve">31 years </w:t>
      </w:r>
      <w:r w:rsidRPr="21F23B36">
        <w:rPr>
          <w:sz w:val="24"/>
          <w:szCs w:val="24"/>
        </w:rPr>
        <w:t xml:space="preserve">is approximately </w:t>
      </w:r>
      <w:r w:rsidR="26CE5683" w:rsidRPr="00D13C96">
        <w:rPr>
          <w:sz w:val="24"/>
          <w:szCs w:val="24"/>
        </w:rPr>
        <w:t>5.4</w:t>
      </w:r>
      <w:r w:rsidR="00B10A3E" w:rsidRPr="21F23B36">
        <w:rPr>
          <w:sz w:val="24"/>
          <w:szCs w:val="24"/>
          <w:highlight w:val="green"/>
        </w:rPr>
        <w:t xml:space="preserve"> </w:t>
      </w:r>
      <w:r w:rsidRPr="00EF579D">
        <w:rPr>
          <w:sz w:val="24"/>
          <w:szCs w:val="24"/>
        </w:rPr>
        <w:t>cents per kilowatt hour.</w:t>
      </w:r>
      <w:r w:rsidRPr="00EF579D" w:rsidDel="00580390">
        <w:rPr>
          <w:sz w:val="24"/>
          <w:szCs w:val="24"/>
        </w:rPr>
        <w:t xml:space="preserve"> </w:t>
      </w:r>
      <w:bookmarkEnd w:id="19"/>
    </w:p>
    <w:p w14:paraId="08E74D39" w14:textId="77777777" w:rsidR="00B10A3E" w:rsidRPr="007C70C4" w:rsidRDefault="00580390" w:rsidP="00C15423">
      <w:pPr>
        <w:pStyle w:val="Heading1"/>
        <w:keepNext/>
        <w:tabs>
          <w:tab w:val="clear" w:pos="360"/>
          <w:tab w:val="num" w:pos="720"/>
        </w:tabs>
        <w:spacing w:before="120" w:after="120" w:line="360" w:lineRule="auto"/>
        <w:ind w:left="720" w:hanging="720"/>
      </w:pPr>
      <w:bookmarkStart w:id="20" w:name="_Toc371316828"/>
      <w:bookmarkStart w:id="21" w:name="_Toc191504506"/>
      <w:r w:rsidRPr="007C70C4">
        <w:t>Certification Requirements</w:t>
      </w:r>
      <w:bookmarkEnd w:id="20"/>
      <w:bookmarkEnd w:id="21"/>
    </w:p>
    <w:p w14:paraId="2C8A2DE5" w14:textId="1C654B08" w:rsidR="00B10A3E" w:rsidRPr="004F1C9B" w:rsidRDefault="005775EE" w:rsidP="00C15423">
      <w:pPr>
        <w:pStyle w:val="Heading2"/>
        <w:keepNext/>
        <w:tabs>
          <w:tab w:val="clear" w:pos="7362"/>
          <w:tab w:val="num" w:pos="1440"/>
        </w:tabs>
        <w:spacing w:after="120" w:line="360" w:lineRule="auto"/>
        <w:ind w:left="720" w:firstLine="0"/>
      </w:pPr>
      <w:bookmarkStart w:id="22" w:name="_Toc191504507"/>
      <w:r>
        <w:t>20</w:t>
      </w:r>
      <w:r w:rsidR="002F700A">
        <w:t>22</w:t>
      </w:r>
      <w:r>
        <w:t xml:space="preserve"> IRP Impacts</w:t>
      </w:r>
      <w:bookmarkEnd w:id="22"/>
      <w:r>
        <w:t xml:space="preserve"> </w:t>
      </w:r>
    </w:p>
    <w:p w14:paraId="4C0F67C8" w14:textId="401D91E2" w:rsidR="00B10A3E" w:rsidRDefault="00580390" w:rsidP="001C47F4">
      <w:pPr>
        <w:spacing w:after="120" w:line="360" w:lineRule="auto"/>
        <w:ind w:firstLine="720"/>
        <w:jc w:val="both"/>
        <w:rPr>
          <w:sz w:val="24"/>
          <w:szCs w:val="24"/>
        </w:rPr>
      </w:pPr>
      <w:r w:rsidRPr="570E4085">
        <w:rPr>
          <w:sz w:val="24"/>
          <w:szCs w:val="24"/>
        </w:rPr>
        <w:t xml:space="preserve">Georgia Power sought </w:t>
      </w:r>
      <w:r w:rsidR="00942C97" w:rsidRPr="570E4085">
        <w:rPr>
          <w:sz w:val="24"/>
          <w:szCs w:val="24"/>
        </w:rPr>
        <w:t xml:space="preserve">2,875 </w:t>
      </w:r>
      <w:r w:rsidRPr="570E4085">
        <w:rPr>
          <w:sz w:val="24"/>
          <w:szCs w:val="24"/>
        </w:rPr>
        <w:t xml:space="preserve">MW </w:t>
      </w:r>
      <w:r w:rsidR="005E56C2" w:rsidRPr="570E4085">
        <w:rPr>
          <w:sz w:val="24"/>
          <w:szCs w:val="24"/>
        </w:rPr>
        <w:t xml:space="preserve">of renewable resources </w:t>
      </w:r>
      <w:r w:rsidRPr="570E4085">
        <w:rPr>
          <w:sz w:val="24"/>
          <w:szCs w:val="24"/>
        </w:rPr>
        <w:t xml:space="preserve">through the </w:t>
      </w:r>
      <w:r w:rsidR="005E56C2" w:rsidRPr="570E4085">
        <w:rPr>
          <w:sz w:val="24"/>
          <w:szCs w:val="24"/>
        </w:rPr>
        <w:t>CARES 2023 US</w:t>
      </w:r>
      <w:r w:rsidR="00E17862" w:rsidRPr="570E4085">
        <w:rPr>
          <w:sz w:val="24"/>
          <w:szCs w:val="24"/>
        </w:rPr>
        <w:t xml:space="preserve"> RFP</w:t>
      </w:r>
      <w:r w:rsidR="004D2183">
        <w:rPr>
          <w:sz w:val="24"/>
          <w:szCs w:val="24"/>
        </w:rPr>
        <w:t>, consistent with</w:t>
      </w:r>
      <w:r w:rsidRPr="570E4085">
        <w:rPr>
          <w:sz w:val="24"/>
          <w:szCs w:val="24"/>
        </w:rPr>
        <w:t xml:space="preserve"> the </w:t>
      </w:r>
      <w:r w:rsidR="008C5335" w:rsidRPr="570E4085">
        <w:rPr>
          <w:sz w:val="24"/>
          <w:szCs w:val="24"/>
        </w:rPr>
        <w:t>2022 IRP Final Order</w:t>
      </w:r>
      <w:r w:rsidR="008C5335">
        <w:rPr>
          <w:sz w:val="24"/>
          <w:szCs w:val="24"/>
        </w:rPr>
        <w:t>’s directive to</w:t>
      </w:r>
      <w:r w:rsidRPr="570E4085">
        <w:rPr>
          <w:sz w:val="24"/>
          <w:szCs w:val="24"/>
        </w:rPr>
        <w:t xml:space="preserve"> procure energy from </w:t>
      </w:r>
      <w:r w:rsidR="008C5335">
        <w:rPr>
          <w:sz w:val="24"/>
          <w:szCs w:val="24"/>
        </w:rPr>
        <w:t>2,100 MW</w:t>
      </w:r>
      <w:r w:rsidR="00CA42E1">
        <w:rPr>
          <w:sz w:val="24"/>
          <w:szCs w:val="24"/>
        </w:rPr>
        <w:t xml:space="preserve"> and the rollover</w:t>
      </w:r>
      <w:r w:rsidR="004D2183">
        <w:rPr>
          <w:sz w:val="24"/>
          <w:szCs w:val="24"/>
        </w:rPr>
        <w:t xml:space="preserve"> MW</w:t>
      </w:r>
      <w:r w:rsidR="00CA42E1">
        <w:rPr>
          <w:sz w:val="24"/>
          <w:szCs w:val="24"/>
        </w:rPr>
        <w:t xml:space="preserve"> from prior </w:t>
      </w:r>
      <w:r w:rsidR="004D2183">
        <w:rPr>
          <w:sz w:val="24"/>
          <w:szCs w:val="24"/>
        </w:rPr>
        <w:t>RFPs</w:t>
      </w:r>
      <w:r w:rsidRPr="570E4085">
        <w:rPr>
          <w:sz w:val="24"/>
          <w:szCs w:val="24"/>
        </w:rPr>
        <w:t xml:space="preserve">. </w:t>
      </w:r>
      <w:r w:rsidR="5554CEB1" w:rsidRPr="543A6775">
        <w:rPr>
          <w:sz w:val="24"/>
          <w:szCs w:val="24"/>
        </w:rPr>
        <w:t>Th</w:t>
      </w:r>
      <w:r w:rsidR="475A27DE" w:rsidRPr="543A6775">
        <w:rPr>
          <w:sz w:val="24"/>
          <w:szCs w:val="24"/>
        </w:rPr>
        <w:t xml:space="preserve">rough its </w:t>
      </w:r>
      <w:r w:rsidR="005E56C2" w:rsidRPr="570E4085">
        <w:rPr>
          <w:sz w:val="24"/>
          <w:szCs w:val="24"/>
        </w:rPr>
        <w:t xml:space="preserve">evaluation </w:t>
      </w:r>
      <w:r w:rsidRPr="570E4085">
        <w:rPr>
          <w:sz w:val="24"/>
          <w:szCs w:val="24"/>
        </w:rPr>
        <w:t xml:space="preserve">of </w:t>
      </w:r>
      <w:r w:rsidR="005E56C2" w:rsidRPr="570E4085">
        <w:rPr>
          <w:sz w:val="24"/>
          <w:szCs w:val="24"/>
        </w:rPr>
        <w:t>the submissions in the CARES 2023 US RFP</w:t>
      </w:r>
      <w:r w:rsidR="32025BC0" w:rsidRPr="543A6775">
        <w:rPr>
          <w:sz w:val="24"/>
          <w:szCs w:val="24"/>
        </w:rPr>
        <w:t xml:space="preserve">, the Company </w:t>
      </w:r>
      <w:r w:rsidRPr="570E4085">
        <w:rPr>
          <w:sz w:val="24"/>
          <w:szCs w:val="24"/>
        </w:rPr>
        <w:t xml:space="preserve">selected </w:t>
      </w:r>
      <w:r w:rsidR="5AFAF05C" w:rsidRPr="543A6775">
        <w:rPr>
          <w:sz w:val="24"/>
          <w:szCs w:val="24"/>
        </w:rPr>
        <w:t>a</w:t>
      </w:r>
      <w:r w:rsidR="5554CEB1" w:rsidRPr="543A6775">
        <w:rPr>
          <w:sz w:val="24"/>
          <w:szCs w:val="24"/>
        </w:rPr>
        <w:t xml:space="preserve"> </w:t>
      </w:r>
      <w:r w:rsidRPr="570E4085">
        <w:rPr>
          <w:sz w:val="24"/>
          <w:szCs w:val="24"/>
        </w:rPr>
        <w:t xml:space="preserve">portfolio of </w:t>
      </w:r>
      <w:r w:rsidR="001B04CE" w:rsidRPr="570E4085">
        <w:rPr>
          <w:sz w:val="24"/>
          <w:szCs w:val="24"/>
        </w:rPr>
        <w:t>1</w:t>
      </w:r>
      <w:r w:rsidR="00FE655B" w:rsidRPr="570E4085">
        <w:rPr>
          <w:sz w:val="24"/>
          <w:szCs w:val="24"/>
        </w:rPr>
        <w:t>,</w:t>
      </w:r>
      <w:r w:rsidR="00891A50">
        <w:rPr>
          <w:sz w:val="24"/>
          <w:szCs w:val="24"/>
        </w:rPr>
        <w:t>068</w:t>
      </w:r>
      <w:r w:rsidR="00891A50" w:rsidRPr="570E4085">
        <w:rPr>
          <w:sz w:val="24"/>
          <w:szCs w:val="24"/>
        </w:rPr>
        <w:t xml:space="preserve"> </w:t>
      </w:r>
      <w:r w:rsidRPr="570E4085">
        <w:rPr>
          <w:sz w:val="24"/>
          <w:szCs w:val="24"/>
        </w:rPr>
        <w:t xml:space="preserve">MW </w:t>
      </w:r>
      <w:r w:rsidR="5B01041B" w:rsidRPr="543A6775">
        <w:rPr>
          <w:sz w:val="24"/>
          <w:szCs w:val="24"/>
        </w:rPr>
        <w:t xml:space="preserve">of economical renewable </w:t>
      </w:r>
      <w:r w:rsidR="36E0978F" w:rsidRPr="2A4C5E09">
        <w:rPr>
          <w:sz w:val="24"/>
          <w:szCs w:val="24"/>
        </w:rPr>
        <w:t xml:space="preserve">resources, using </w:t>
      </w:r>
      <w:r w:rsidRPr="570E4085">
        <w:rPr>
          <w:sz w:val="24"/>
          <w:szCs w:val="24"/>
        </w:rPr>
        <w:t xml:space="preserve">input data and assumptions consistent with the Budget </w:t>
      </w:r>
      <w:r w:rsidR="00CC1667" w:rsidRPr="570E4085">
        <w:rPr>
          <w:sz w:val="24"/>
          <w:szCs w:val="24"/>
        </w:rPr>
        <w:t>202</w:t>
      </w:r>
      <w:r w:rsidR="00102921" w:rsidRPr="570E4085">
        <w:rPr>
          <w:sz w:val="24"/>
          <w:szCs w:val="24"/>
        </w:rPr>
        <w:t>3</w:t>
      </w:r>
      <w:r w:rsidR="00CC1667" w:rsidRPr="570E4085">
        <w:rPr>
          <w:sz w:val="24"/>
          <w:szCs w:val="24"/>
        </w:rPr>
        <w:t xml:space="preserve"> </w:t>
      </w:r>
      <w:r w:rsidRPr="570E4085">
        <w:rPr>
          <w:sz w:val="24"/>
          <w:szCs w:val="24"/>
        </w:rPr>
        <w:t xml:space="preserve">planning assumptions. By selecting </w:t>
      </w:r>
      <w:r w:rsidR="003351B3" w:rsidRPr="570E4085">
        <w:rPr>
          <w:sz w:val="24"/>
          <w:szCs w:val="24"/>
        </w:rPr>
        <w:t>these PPAs</w:t>
      </w:r>
      <w:r w:rsidRPr="570E4085">
        <w:rPr>
          <w:sz w:val="24"/>
          <w:szCs w:val="24"/>
        </w:rPr>
        <w:t>, Georgia Power is maximiz</w:t>
      </w:r>
      <w:r w:rsidRPr="34761A63">
        <w:rPr>
          <w:sz w:val="24"/>
          <w:szCs w:val="24"/>
        </w:rPr>
        <w:t xml:space="preserve">ing the value customers will receive based on the characteristics of the </w:t>
      </w:r>
      <w:r w:rsidR="09620598" w:rsidRPr="333C8AD1">
        <w:rPr>
          <w:sz w:val="24"/>
          <w:szCs w:val="24"/>
        </w:rPr>
        <w:t xml:space="preserve">competitive </w:t>
      </w:r>
      <w:r w:rsidRPr="333C8AD1">
        <w:rPr>
          <w:sz w:val="24"/>
          <w:szCs w:val="24"/>
        </w:rPr>
        <w:t>bids</w:t>
      </w:r>
      <w:r w:rsidRPr="34761A63">
        <w:rPr>
          <w:sz w:val="24"/>
          <w:szCs w:val="24"/>
        </w:rPr>
        <w:t>.</w:t>
      </w:r>
    </w:p>
    <w:p w14:paraId="060D4956" w14:textId="2A410AF8" w:rsidR="00B10A3E" w:rsidRDefault="00580390" w:rsidP="001C47F4">
      <w:pPr>
        <w:spacing w:after="120" w:line="360" w:lineRule="auto"/>
        <w:ind w:firstLine="720"/>
        <w:jc w:val="both"/>
        <w:rPr>
          <w:sz w:val="24"/>
          <w:szCs w:val="24"/>
        </w:rPr>
      </w:pPr>
      <w:r w:rsidRPr="5B8B6D4F">
        <w:rPr>
          <w:sz w:val="24"/>
          <w:szCs w:val="24"/>
        </w:rPr>
        <w:t xml:space="preserve">The </w:t>
      </w:r>
      <w:r w:rsidR="003351B3" w:rsidRPr="5B8B6D4F">
        <w:rPr>
          <w:sz w:val="24"/>
          <w:szCs w:val="24"/>
        </w:rPr>
        <w:t xml:space="preserve">2025 </w:t>
      </w:r>
      <w:r w:rsidRPr="5B8B6D4F">
        <w:rPr>
          <w:sz w:val="24"/>
          <w:szCs w:val="24"/>
        </w:rPr>
        <w:t xml:space="preserve">IRP was </w:t>
      </w:r>
      <w:r w:rsidR="003351B3" w:rsidRPr="5B8B6D4F">
        <w:rPr>
          <w:sz w:val="24"/>
          <w:szCs w:val="24"/>
        </w:rPr>
        <w:t>filed on January 31, 2025</w:t>
      </w:r>
      <w:r w:rsidR="77D4114E" w:rsidRPr="5B8B6D4F">
        <w:rPr>
          <w:sz w:val="24"/>
          <w:szCs w:val="24"/>
        </w:rPr>
        <w:t>,</w:t>
      </w:r>
      <w:r w:rsidR="003351B3" w:rsidRPr="5B8B6D4F">
        <w:rPr>
          <w:sz w:val="24"/>
          <w:szCs w:val="24"/>
        </w:rPr>
        <w:t xml:space="preserve"> in Docket No. 56002, which reflects the </w:t>
      </w:r>
      <w:r w:rsidRPr="5B8B6D4F">
        <w:rPr>
          <w:sz w:val="24"/>
          <w:szCs w:val="24"/>
        </w:rPr>
        <w:t>Company’s</w:t>
      </w:r>
      <w:r w:rsidR="003351B3" w:rsidRPr="5B8B6D4F">
        <w:rPr>
          <w:sz w:val="24"/>
          <w:szCs w:val="24"/>
        </w:rPr>
        <w:t xml:space="preserve"> updated</w:t>
      </w:r>
      <w:r w:rsidRPr="5B8B6D4F">
        <w:rPr>
          <w:sz w:val="24"/>
          <w:szCs w:val="24"/>
        </w:rPr>
        <w:t xml:space="preserve"> generation needs</w:t>
      </w:r>
      <w:r w:rsidR="003351B3" w:rsidRPr="5B8B6D4F">
        <w:rPr>
          <w:sz w:val="24"/>
          <w:szCs w:val="24"/>
        </w:rPr>
        <w:t>. The Capacity Needs as identified in the Company’s 2025 IRP</w:t>
      </w:r>
      <w:r w:rsidR="00A474AB" w:rsidRPr="5B8B6D4F">
        <w:rPr>
          <w:sz w:val="24"/>
          <w:szCs w:val="24"/>
        </w:rPr>
        <w:t xml:space="preserve">, and </w:t>
      </w:r>
      <w:r w:rsidR="59AB2229" w:rsidRPr="5B8B6D4F">
        <w:rPr>
          <w:sz w:val="24"/>
          <w:szCs w:val="24"/>
        </w:rPr>
        <w:t xml:space="preserve">as </w:t>
      </w:r>
      <w:r w:rsidR="00A474AB" w:rsidRPr="5B8B6D4F">
        <w:rPr>
          <w:sz w:val="24"/>
          <w:szCs w:val="24"/>
        </w:rPr>
        <w:t>revised to inc</w:t>
      </w:r>
      <w:r w:rsidR="00BF592D" w:rsidRPr="5B8B6D4F">
        <w:rPr>
          <w:sz w:val="24"/>
          <w:szCs w:val="24"/>
        </w:rPr>
        <w:t>lude the CARES 2023 PPAs,</w:t>
      </w:r>
      <w:r w:rsidRPr="5B8B6D4F">
        <w:rPr>
          <w:sz w:val="24"/>
          <w:szCs w:val="24"/>
        </w:rPr>
        <w:t xml:space="preserve"> </w:t>
      </w:r>
      <w:r w:rsidR="00BF592D" w:rsidRPr="5B8B6D4F">
        <w:rPr>
          <w:sz w:val="24"/>
          <w:szCs w:val="24"/>
        </w:rPr>
        <w:t>are</w:t>
      </w:r>
      <w:r w:rsidRPr="5B8B6D4F">
        <w:rPr>
          <w:sz w:val="24"/>
          <w:szCs w:val="24"/>
        </w:rPr>
        <w:t xml:space="preserve"> provided </w:t>
      </w:r>
      <w:r w:rsidR="00DB1E29" w:rsidRPr="5B8B6D4F">
        <w:rPr>
          <w:sz w:val="24"/>
          <w:szCs w:val="24"/>
        </w:rPr>
        <w:t>in Section 6.2 below.</w:t>
      </w:r>
    </w:p>
    <w:p w14:paraId="46C32E60" w14:textId="2E02749B" w:rsidR="00B10A3E" w:rsidRDefault="00580390" w:rsidP="00B10A3E">
      <w:pPr>
        <w:pStyle w:val="Heading2"/>
        <w:keepNext/>
        <w:tabs>
          <w:tab w:val="clear" w:pos="7362"/>
          <w:tab w:val="num" w:pos="1440"/>
        </w:tabs>
        <w:spacing w:after="120" w:line="360" w:lineRule="auto"/>
        <w:ind w:left="720" w:firstLine="0"/>
      </w:pPr>
      <w:bookmarkStart w:id="23" w:name="_Toc191504508"/>
      <w:r>
        <w:t>Revised Near</w:t>
      </w:r>
      <w:r w:rsidR="001341BB">
        <w:t>-</w:t>
      </w:r>
      <w:r>
        <w:t>Term Action Plan</w:t>
      </w:r>
      <w:bookmarkEnd w:id="23"/>
    </w:p>
    <w:p w14:paraId="1B6183B5" w14:textId="22A18A8B" w:rsidR="00330933" w:rsidRDefault="00B21027" w:rsidP="001C47F4">
      <w:pPr>
        <w:pStyle w:val="BodyText"/>
        <w:rPr>
          <w:rFonts w:ascii="Times New Roman" w:hAnsi="Times New Roman"/>
        </w:rPr>
      </w:pPr>
      <w:r>
        <w:rPr>
          <w:rFonts w:ascii="Times New Roman" w:hAnsi="Times New Roman"/>
        </w:rPr>
        <w:t xml:space="preserve">Tables 6.2.1 and 6.2.2 below </w:t>
      </w:r>
      <w:r w:rsidR="004952C3">
        <w:rPr>
          <w:rFonts w:ascii="Times New Roman" w:hAnsi="Times New Roman"/>
        </w:rPr>
        <w:t xml:space="preserve">represent Georgia Power’s </w:t>
      </w:r>
      <w:r w:rsidR="0091236D">
        <w:rPr>
          <w:rFonts w:ascii="Times New Roman" w:hAnsi="Times New Roman"/>
        </w:rPr>
        <w:t xml:space="preserve">projected </w:t>
      </w:r>
      <w:r w:rsidR="004952C3">
        <w:rPr>
          <w:rFonts w:ascii="Times New Roman" w:hAnsi="Times New Roman"/>
        </w:rPr>
        <w:t>summer and winter capacity needs f</w:t>
      </w:r>
      <w:r w:rsidR="0091236D">
        <w:rPr>
          <w:rFonts w:ascii="Times New Roman" w:hAnsi="Times New Roman"/>
        </w:rPr>
        <w:t xml:space="preserve">or 2025-2044. </w:t>
      </w:r>
      <w:r w:rsidR="00E62C67">
        <w:rPr>
          <w:rFonts w:ascii="Times New Roman" w:hAnsi="Times New Roman"/>
        </w:rPr>
        <w:t xml:space="preserve">The tables </w:t>
      </w:r>
      <w:r w:rsidR="004049C5">
        <w:rPr>
          <w:rFonts w:ascii="Times New Roman" w:hAnsi="Times New Roman"/>
        </w:rPr>
        <w:t xml:space="preserve">are based on </w:t>
      </w:r>
      <w:r w:rsidR="004E67AA">
        <w:rPr>
          <w:rFonts w:ascii="Times New Roman" w:hAnsi="Times New Roman"/>
        </w:rPr>
        <w:t xml:space="preserve">the same information as </w:t>
      </w:r>
      <w:r w:rsidR="004049C5">
        <w:rPr>
          <w:rFonts w:ascii="Times New Roman" w:hAnsi="Times New Roman"/>
        </w:rPr>
        <w:t xml:space="preserve">Table 8.1B from the 2025 IRP Main Document </w:t>
      </w:r>
      <w:r w:rsidR="005C0E8C">
        <w:rPr>
          <w:rFonts w:ascii="Times New Roman" w:hAnsi="Times New Roman"/>
        </w:rPr>
        <w:t>in Docket No. 56002</w:t>
      </w:r>
      <w:r w:rsidR="003A3C8D">
        <w:rPr>
          <w:rFonts w:ascii="Times New Roman" w:hAnsi="Times New Roman"/>
        </w:rPr>
        <w:t xml:space="preserve"> </w:t>
      </w:r>
      <w:r w:rsidR="00475650">
        <w:rPr>
          <w:rFonts w:ascii="Times New Roman" w:hAnsi="Times New Roman"/>
        </w:rPr>
        <w:t xml:space="preserve">but are updated to </w:t>
      </w:r>
      <w:r w:rsidR="003A3C8D">
        <w:rPr>
          <w:rFonts w:ascii="Times New Roman" w:hAnsi="Times New Roman"/>
        </w:rPr>
        <w:t xml:space="preserve">incorporate </w:t>
      </w:r>
      <w:r w:rsidR="00307D2A">
        <w:rPr>
          <w:rFonts w:ascii="Times New Roman" w:hAnsi="Times New Roman"/>
        </w:rPr>
        <w:t>(i)</w:t>
      </w:r>
      <w:r w:rsidR="003A3C8D">
        <w:rPr>
          <w:rFonts w:ascii="Times New Roman" w:hAnsi="Times New Roman"/>
        </w:rPr>
        <w:t xml:space="preserve"> the results of the CARES 2023 US RFP and </w:t>
      </w:r>
      <w:r w:rsidR="00307D2A">
        <w:rPr>
          <w:rFonts w:ascii="Times New Roman" w:hAnsi="Times New Roman"/>
        </w:rPr>
        <w:t xml:space="preserve">(ii) </w:t>
      </w:r>
      <w:r w:rsidR="005C552A">
        <w:rPr>
          <w:rFonts w:ascii="Times New Roman" w:hAnsi="Times New Roman"/>
        </w:rPr>
        <w:t xml:space="preserve">the </w:t>
      </w:r>
      <w:r w:rsidR="00FF0407">
        <w:rPr>
          <w:rFonts w:ascii="Times New Roman" w:hAnsi="Times New Roman"/>
        </w:rPr>
        <w:t xml:space="preserve">Company’s </w:t>
      </w:r>
      <w:r w:rsidR="005C552A">
        <w:rPr>
          <w:rFonts w:ascii="Times New Roman" w:hAnsi="Times New Roman"/>
        </w:rPr>
        <w:t xml:space="preserve">February 2025 </w:t>
      </w:r>
      <w:r w:rsidR="00856227">
        <w:rPr>
          <w:rFonts w:ascii="Times New Roman" w:hAnsi="Times New Roman"/>
        </w:rPr>
        <w:t xml:space="preserve">load forecast, which will be provided with </w:t>
      </w:r>
      <w:r w:rsidR="00097F02">
        <w:rPr>
          <w:rFonts w:ascii="Times New Roman" w:hAnsi="Times New Roman"/>
        </w:rPr>
        <w:t xml:space="preserve">Georgia Power’s </w:t>
      </w:r>
      <w:r w:rsidR="00EB1448">
        <w:rPr>
          <w:rFonts w:ascii="Times New Roman" w:hAnsi="Times New Roman"/>
        </w:rPr>
        <w:t xml:space="preserve">2025 IRP </w:t>
      </w:r>
      <w:r w:rsidR="00097F02">
        <w:rPr>
          <w:rFonts w:ascii="Times New Roman" w:hAnsi="Times New Roman"/>
        </w:rPr>
        <w:t xml:space="preserve">Rebuttal Testimony </w:t>
      </w:r>
      <w:r w:rsidR="00330933">
        <w:rPr>
          <w:rFonts w:ascii="Times New Roman" w:hAnsi="Times New Roman"/>
        </w:rPr>
        <w:t>on June 9, 2025.</w:t>
      </w:r>
    </w:p>
    <w:p w14:paraId="7941271D" w14:textId="033EC4BF" w:rsidR="00B10A3E" w:rsidRPr="00B622DC" w:rsidRDefault="00330933" w:rsidP="00393FD4">
      <w:r>
        <w:br w:type="page"/>
      </w:r>
    </w:p>
    <w:tbl>
      <w:tblPr>
        <w:tblW w:w="10420" w:type="dxa"/>
        <w:jc w:val="center"/>
        <w:tblLook w:val="04A0" w:firstRow="1" w:lastRow="0" w:firstColumn="1" w:lastColumn="0" w:noHBand="0" w:noVBand="1"/>
      </w:tblPr>
      <w:tblGrid>
        <w:gridCol w:w="1060"/>
        <w:gridCol w:w="1320"/>
        <w:gridCol w:w="1260"/>
        <w:gridCol w:w="1260"/>
        <w:gridCol w:w="1460"/>
        <w:gridCol w:w="1360"/>
        <w:gridCol w:w="1460"/>
        <w:gridCol w:w="1240"/>
      </w:tblGrid>
      <w:tr w:rsidR="00381240" w:rsidRPr="00381240" w14:paraId="105A1F09" w14:textId="77777777" w:rsidTr="00910C28">
        <w:trPr>
          <w:trHeight w:val="576"/>
          <w:jc w:val="center"/>
        </w:trPr>
        <w:tc>
          <w:tcPr>
            <w:tcW w:w="10420" w:type="dxa"/>
            <w:gridSpan w:val="8"/>
            <w:tcBorders>
              <w:top w:val="single" w:sz="4" w:space="0" w:color="auto"/>
              <w:left w:val="single" w:sz="4" w:space="0" w:color="auto"/>
              <w:bottom w:val="nil"/>
              <w:right w:val="single" w:sz="4" w:space="0" w:color="auto"/>
            </w:tcBorders>
            <w:shd w:val="clear" w:color="000000" w:fill="FBE2D5"/>
            <w:vAlign w:val="center"/>
            <w:hideMark/>
          </w:tcPr>
          <w:p w14:paraId="08C1DD79" w14:textId="6A71B53D" w:rsidR="00381240" w:rsidRPr="008B51EF" w:rsidRDefault="00381240" w:rsidP="009F50E0">
            <w:pPr>
              <w:keepNext/>
              <w:keepLines/>
              <w:jc w:val="center"/>
              <w:rPr>
                <w:b/>
                <w:color w:val="000000"/>
                <w:sz w:val="22"/>
                <w:szCs w:val="22"/>
              </w:rPr>
            </w:pPr>
            <w:r w:rsidRPr="008B51EF">
              <w:rPr>
                <w:b/>
                <w:color w:val="000000"/>
                <w:sz w:val="22"/>
                <w:szCs w:val="22"/>
              </w:rPr>
              <w:lastRenderedPageBreak/>
              <w:t xml:space="preserve">Table </w:t>
            </w:r>
            <w:r w:rsidR="00A268C8">
              <w:rPr>
                <w:b/>
                <w:color w:val="000000"/>
                <w:sz w:val="22"/>
                <w:szCs w:val="22"/>
              </w:rPr>
              <w:t>6</w:t>
            </w:r>
            <w:r w:rsidR="009F50E0">
              <w:rPr>
                <w:b/>
                <w:color w:val="000000"/>
                <w:sz w:val="22"/>
                <w:szCs w:val="22"/>
              </w:rPr>
              <w:t>.</w:t>
            </w:r>
            <w:r w:rsidR="00A268C8">
              <w:rPr>
                <w:b/>
                <w:color w:val="000000"/>
                <w:sz w:val="22"/>
                <w:szCs w:val="22"/>
              </w:rPr>
              <w:t>2</w:t>
            </w:r>
            <w:r w:rsidR="009F50E0">
              <w:rPr>
                <w:b/>
                <w:color w:val="000000"/>
                <w:sz w:val="22"/>
                <w:szCs w:val="22"/>
              </w:rPr>
              <w:t>.1</w:t>
            </w:r>
            <w:r w:rsidR="003A693B" w:rsidRPr="008B51EF">
              <w:rPr>
                <w:b/>
                <w:color w:val="000000"/>
                <w:sz w:val="22"/>
                <w:szCs w:val="22"/>
              </w:rPr>
              <w:t xml:space="preserve"> –</w:t>
            </w:r>
            <w:r w:rsidRPr="008B51EF">
              <w:rPr>
                <w:b/>
                <w:color w:val="000000"/>
                <w:sz w:val="22"/>
                <w:szCs w:val="22"/>
              </w:rPr>
              <w:t xml:space="preserve"> G</w:t>
            </w:r>
            <w:r w:rsidR="00C52FB5">
              <w:rPr>
                <w:b/>
                <w:color w:val="000000"/>
                <w:sz w:val="22"/>
                <w:szCs w:val="22"/>
              </w:rPr>
              <w:t xml:space="preserve">eorgia Power Projected </w:t>
            </w:r>
            <w:r w:rsidRPr="008B51EF">
              <w:rPr>
                <w:b/>
                <w:color w:val="000000"/>
                <w:sz w:val="22"/>
                <w:szCs w:val="22"/>
              </w:rPr>
              <w:t>Summer Capacity Need (MW)</w:t>
            </w:r>
          </w:p>
        </w:tc>
      </w:tr>
      <w:tr w:rsidR="00381240" w:rsidRPr="00381240" w14:paraId="1F293CD6" w14:textId="77777777" w:rsidTr="00910C28">
        <w:trPr>
          <w:trHeight w:val="720"/>
          <w:jc w:val="center"/>
        </w:trPr>
        <w:tc>
          <w:tcPr>
            <w:tcW w:w="1060" w:type="dxa"/>
            <w:tcBorders>
              <w:top w:val="single" w:sz="4" w:space="0" w:color="auto"/>
              <w:left w:val="single" w:sz="4" w:space="0" w:color="auto"/>
              <w:bottom w:val="nil"/>
              <w:right w:val="single" w:sz="4" w:space="0" w:color="auto"/>
            </w:tcBorders>
            <w:shd w:val="clear" w:color="000000" w:fill="FFFFFF"/>
            <w:vAlign w:val="center"/>
            <w:hideMark/>
          </w:tcPr>
          <w:p w14:paraId="6C6558F6" w14:textId="77777777" w:rsidR="00381240" w:rsidRPr="008B51EF" w:rsidRDefault="00381240" w:rsidP="00381240">
            <w:pPr>
              <w:jc w:val="center"/>
              <w:rPr>
                <w:color w:val="000000"/>
              </w:rPr>
            </w:pPr>
            <w:r w:rsidRPr="008B51EF">
              <w:rPr>
                <w:color w:val="000000"/>
              </w:rPr>
              <w:t>Year</w:t>
            </w:r>
          </w:p>
        </w:tc>
        <w:tc>
          <w:tcPr>
            <w:tcW w:w="1320" w:type="dxa"/>
            <w:tcBorders>
              <w:top w:val="single" w:sz="4" w:space="0" w:color="auto"/>
              <w:left w:val="nil"/>
              <w:bottom w:val="nil"/>
              <w:right w:val="single" w:sz="4" w:space="0" w:color="auto"/>
            </w:tcBorders>
            <w:shd w:val="clear" w:color="000000" w:fill="FFFFFF"/>
            <w:vAlign w:val="center"/>
            <w:hideMark/>
          </w:tcPr>
          <w:p w14:paraId="0712B428" w14:textId="77777777" w:rsidR="00381240" w:rsidRPr="008B51EF" w:rsidRDefault="00381240" w:rsidP="009F50E0">
            <w:pPr>
              <w:keepNext/>
              <w:keepLines/>
              <w:jc w:val="center"/>
              <w:rPr>
                <w:color w:val="000000"/>
              </w:rPr>
            </w:pPr>
            <w:r w:rsidRPr="008B51EF">
              <w:rPr>
                <w:color w:val="000000"/>
              </w:rPr>
              <w:t>Peak Demand</w:t>
            </w:r>
          </w:p>
        </w:tc>
        <w:tc>
          <w:tcPr>
            <w:tcW w:w="1260" w:type="dxa"/>
            <w:tcBorders>
              <w:top w:val="single" w:sz="4" w:space="0" w:color="auto"/>
              <w:left w:val="nil"/>
              <w:bottom w:val="nil"/>
              <w:right w:val="single" w:sz="4" w:space="0" w:color="auto"/>
            </w:tcBorders>
            <w:shd w:val="clear" w:color="000000" w:fill="FFFFFF"/>
            <w:vAlign w:val="center"/>
            <w:hideMark/>
          </w:tcPr>
          <w:p w14:paraId="73960D76" w14:textId="77777777" w:rsidR="00381240" w:rsidRPr="008B51EF" w:rsidRDefault="00381240" w:rsidP="009F50E0">
            <w:pPr>
              <w:keepNext/>
              <w:keepLines/>
              <w:jc w:val="center"/>
              <w:rPr>
                <w:color w:val="000000"/>
              </w:rPr>
            </w:pPr>
            <w:r w:rsidRPr="008B51EF">
              <w:rPr>
                <w:color w:val="000000"/>
              </w:rPr>
              <w:t>Owned Generating Capacity</w:t>
            </w:r>
          </w:p>
        </w:tc>
        <w:tc>
          <w:tcPr>
            <w:tcW w:w="1260" w:type="dxa"/>
            <w:tcBorders>
              <w:top w:val="single" w:sz="4" w:space="0" w:color="auto"/>
              <w:left w:val="nil"/>
              <w:bottom w:val="nil"/>
              <w:right w:val="single" w:sz="4" w:space="0" w:color="auto"/>
            </w:tcBorders>
            <w:shd w:val="clear" w:color="000000" w:fill="FFFFFF"/>
            <w:vAlign w:val="center"/>
            <w:hideMark/>
          </w:tcPr>
          <w:p w14:paraId="5E8F6B24" w14:textId="77777777" w:rsidR="00381240" w:rsidRPr="008B51EF" w:rsidRDefault="00381240" w:rsidP="009F50E0">
            <w:pPr>
              <w:keepNext/>
              <w:keepLines/>
              <w:jc w:val="center"/>
              <w:rPr>
                <w:color w:val="000000"/>
              </w:rPr>
            </w:pPr>
            <w:r w:rsidRPr="008B51EF">
              <w:rPr>
                <w:color w:val="000000"/>
              </w:rPr>
              <w:t>Purchased Generating Capacity</w:t>
            </w:r>
          </w:p>
        </w:tc>
        <w:tc>
          <w:tcPr>
            <w:tcW w:w="1460" w:type="dxa"/>
            <w:tcBorders>
              <w:top w:val="single" w:sz="4" w:space="0" w:color="auto"/>
              <w:left w:val="nil"/>
              <w:bottom w:val="nil"/>
              <w:right w:val="single" w:sz="4" w:space="0" w:color="auto"/>
            </w:tcBorders>
            <w:shd w:val="clear" w:color="000000" w:fill="FFFFFF"/>
            <w:vAlign w:val="center"/>
            <w:hideMark/>
          </w:tcPr>
          <w:p w14:paraId="3F0E26E9" w14:textId="77777777" w:rsidR="00381240" w:rsidRPr="008B51EF" w:rsidRDefault="00381240" w:rsidP="009F50E0">
            <w:pPr>
              <w:keepNext/>
              <w:keepLines/>
              <w:jc w:val="center"/>
              <w:rPr>
                <w:color w:val="000000"/>
              </w:rPr>
            </w:pPr>
            <w:r w:rsidRPr="008B51EF">
              <w:rPr>
                <w:color w:val="000000"/>
              </w:rPr>
              <w:t>Dispatchable DSOs</w:t>
            </w:r>
          </w:p>
        </w:tc>
        <w:tc>
          <w:tcPr>
            <w:tcW w:w="1360" w:type="dxa"/>
            <w:tcBorders>
              <w:top w:val="single" w:sz="4" w:space="0" w:color="auto"/>
              <w:left w:val="nil"/>
              <w:bottom w:val="nil"/>
              <w:right w:val="single" w:sz="4" w:space="0" w:color="auto"/>
            </w:tcBorders>
            <w:shd w:val="clear" w:color="000000" w:fill="FFFFFF"/>
            <w:vAlign w:val="center"/>
            <w:hideMark/>
          </w:tcPr>
          <w:p w14:paraId="1CF78287" w14:textId="77777777" w:rsidR="00381240" w:rsidRPr="008B51EF" w:rsidRDefault="00381240" w:rsidP="009F50E0">
            <w:pPr>
              <w:keepNext/>
              <w:keepLines/>
              <w:jc w:val="center"/>
              <w:rPr>
                <w:color w:val="000000"/>
              </w:rPr>
            </w:pPr>
            <w:r w:rsidRPr="008B51EF">
              <w:rPr>
                <w:color w:val="000000"/>
              </w:rPr>
              <w:t>Total Capacity</w:t>
            </w:r>
          </w:p>
        </w:tc>
        <w:tc>
          <w:tcPr>
            <w:tcW w:w="1460" w:type="dxa"/>
            <w:tcBorders>
              <w:top w:val="single" w:sz="4" w:space="0" w:color="auto"/>
              <w:left w:val="nil"/>
              <w:bottom w:val="nil"/>
              <w:right w:val="single" w:sz="4" w:space="0" w:color="auto"/>
            </w:tcBorders>
            <w:shd w:val="clear" w:color="000000" w:fill="FFFFFF"/>
            <w:vAlign w:val="center"/>
            <w:hideMark/>
          </w:tcPr>
          <w:p w14:paraId="5E572C43" w14:textId="77777777" w:rsidR="00381240" w:rsidRPr="008B51EF" w:rsidRDefault="00381240" w:rsidP="00381240">
            <w:pPr>
              <w:jc w:val="center"/>
              <w:rPr>
                <w:color w:val="000000"/>
              </w:rPr>
            </w:pPr>
            <w:r w:rsidRPr="008B51EF">
              <w:rPr>
                <w:color w:val="000000"/>
              </w:rPr>
              <w:t>Capacity Required to Meet GPC Target</w:t>
            </w:r>
          </w:p>
        </w:tc>
        <w:tc>
          <w:tcPr>
            <w:tcW w:w="1240" w:type="dxa"/>
            <w:tcBorders>
              <w:top w:val="single" w:sz="4" w:space="0" w:color="auto"/>
              <w:left w:val="nil"/>
              <w:bottom w:val="nil"/>
              <w:right w:val="single" w:sz="4" w:space="0" w:color="auto"/>
            </w:tcBorders>
            <w:shd w:val="clear" w:color="000000" w:fill="FFFFFF"/>
            <w:vAlign w:val="center"/>
            <w:hideMark/>
          </w:tcPr>
          <w:p w14:paraId="514A0185" w14:textId="77777777" w:rsidR="00381240" w:rsidRPr="008B51EF" w:rsidRDefault="00381240" w:rsidP="00381240">
            <w:pPr>
              <w:jc w:val="center"/>
              <w:rPr>
                <w:color w:val="000000"/>
              </w:rPr>
            </w:pPr>
            <w:r w:rsidRPr="008B51EF">
              <w:rPr>
                <w:color w:val="000000"/>
              </w:rPr>
              <w:t>GPC Reserve Margin</w:t>
            </w:r>
          </w:p>
        </w:tc>
      </w:tr>
      <w:tr w:rsidR="00381240" w:rsidRPr="00381240" w14:paraId="754D9F6F" w14:textId="77777777" w:rsidTr="00910C28">
        <w:trPr>
          <w:trHeight w:val="20"/>
          <w:jc w:val="center"/>
        </w:trPr>
        <w:tc>
          <w:tcPr>
            <w:tcW w:w="1060" w:type="dxa"/>
            <w:tcBorders>
              <w:top w:val="nil"/>
              <w:left w:val="single" w:sz="4" w:space="0" w:color="auto"/>
              <w:bottom w:val="nil"/>
              <w:right w:val="single" w:sz="4" w:space="0" w:color="auto"/>
            </w:tcBorders>
            <w:shd w:val="clear" w:color="000000" w:fill="FFFFFF"/>
            <w:vAlign w:val="center"/>
            <w:hideMark/>
          </w:tcPr>
          <w:p w14:paraId="0C0F9857" w14:textId="77777777" w:rsidR="00381240" w:rsidRPr="008B51EF" w:rsidRDefault="00381240" w:rsidP="00381240">
            <w:pPr>
              <w:jc w:val="center"/>
              <w:rPr>
                <w:color w:val="000000"/>
              </w:rPr>
            </w:pPr>
            <w:r w:rsidRPr="008B51EF">
              <w:rPr>
                <w:color w:val="000000"/>
              </w:rPr>
              <w:t> </w:t>
            </w:r>
          </w:p>
        </w:tc>
        <w:tc>
          <w:tcPr>
            <w:tcW w:w="1320" w:type="dxa"/>
            <w:tcBorders>
              <w:top w:val="nil"/>
              <w:left w:val="nil"/>
              <w:bottom w:val="nil"/>
              <w:right w:val="single" w:sz="4" w:space="0" w:color="auto"/>
            </w:tcBorders>
            <w:shd w:val="clear" w:color="000000" w:fill="FFFFFF"/>
            <w:hideMark/>
          </w:tcPr>
          <w:p w14:paraId="4D53F6BB" w14:textId="77777777" w:rsidR="00381240" w:rsidRPr="008B51EF" w:rsidRDefault="00381240" w:rsidP="009F50E0">
            <w:pPr>
              <w:keepNext/>
              <w:keepLines/>
              <w:jc w:val="center"/>
              <w:rPr>
                <w:color w:val="000000"/>
              </w:rPr>
            </w:pPr>
            <w:r w:rsidRPr="008B51EF">
              <w:rPr>
                <w:color w:val="000000"/>
              </w:rPr>
              <w:t>(MW)</w:t>
            </w:r>
          </w:p>
        </w:tc>
        <w:tc>
          <w:tcPr>
            <w:tcW w:w="1260" w:type="dxa"/>
            <w:tcBorders>
              <w:top w:val="nil"/>
              <w:left w:val="nil"/>
              <w:bottom w:val="nil"/>
              <w:right w:val="single" w:sz="4" w:space="0" w:color="auto"/>
            </w:tcBorders>
            <w:shd w:val="clear" w:color="000000" w:fill="FFFFFF"/>
            <w:hideMark/>
          </w:tcPr>
          <w:p w14:paraId="292D3575" w14:textId="77777777" w:rsidR="00381240" w:rsidRPr="008B51EF" w:rsidRDefault="00381240" w:rsidP="009F50E0">
            <w:pPr>
              <w:keepNext/>
              <w:keepLines/>
              <w:jc w:val="center"/>
              <w:rPr>
                <w:color w:val="000000"/>
              </w:rPr>
            </w:pPr>
            <w:r w:rsidRPr="008B51EF">
              <w:rPr>
                <w:color w:val="000000"/>
              </w:rPr>
              <w:t>(MW)</w:t>
            </w:r>
          </w:p>
        </w:tc>
        <w:tc>
          <w:tcPr>
            <w:tcW w:w="1260" w:type="dxa"/>
            <w:tcBorders>
              <w:top w:val="nil"/>
              <w:left w:val="nil"/>
              <w:bottom w:val="nil"/>
              <w:right w:val="single" w:sz="4" w:space="0" w:color="auto"/>
            </w:tcBorders>
            <w:shd w:val="clear" w:color="000000" w:fill="FFFFFF"/>
            <w:hideMark/>
          </w:tcPr>
          <w:p w14:paraId="466894F5" w14:textId="77777777" w:rsidR="00381240" w:rsidRPr="008B51EF" w:rsidRDefault="00381240" w:rsidP="009F50E0">
            <w:pPr>
              <w:keepNext/>
              <w:keepLines/>
              <w:jc w:val="center"/>
              <w:rPr>
                <w:color w:val="000000"/>
              </w:rPr>
            </w:pPr>
            <w:r w:rsidRPr="008B51EF">
              <w:rPr>
                <w:color w:val="000000"/>
              </w:rPr>
              <w:t>(MW)</w:t>
            </w:r>
          </w:p>
        </w:tc>
        <w:tc>
          <w:tcPr>
            <w:tcW w:w="1460" w:type="dxa"/>
            <w:tcBorders>
              <w:top w:val="nil"/>
              <w:left w:val="nil"/>
              <w:bottom w:val="nil"/>
              <w:right w:val="single" w:sz="4" w:space="0" w:color="auto"/>
            </w:tcBorders>
            <w:shd w:val="clear" w:color="000000" w:fill="FFFFFF"/>
            <w:hideMark/>
          </w:tcPr>
          <w:p w14:paraId="35275179" w14:textId="77777777" w:rsidR="00381240" w:rsidRPr="008B51EF" w:rsidRDefault="00381240" w:rsidP="009F50E0">
            <w:pPr>
              <w:keepNext/>
              <w:keepLines/>
              <w:jc w:val="center"/>
              <w:rPr>
                <w:color w:val="000000"/>
              </w:rPr>
            </w:pPr>
            <w:r w:rsidRPr="008B51EF">
              <w:rPr>
                <w:color w:val="000000"/>
              </w:rPr>
              <w:t>(MW)</w:t>
            </w:r>
          </w:p>
        </w:tc>
        <w:tc>
          <w:tcPr>
            <w:tcW w:w="1360" w:type="dxa"/>
            <w:tcBorders>
              <w:top w:val="nil"/>
              <w:left w:val="nil"/>
              <w:bottom w:val="nil"/>
              <w:right w:val="single" w:sz="4" w:space="0" w:color="auto"/>
            </w:tcBorders>
            <w:shd w:val="clear" w:color="000000" w:fill="FFFFFF"/>
            <w:hideMark/>
          </w:tcPr>
          <w:p w14:paraId="406D59F6" w14:textId="77777777" w:rsidR="00381240" w:rsidRPr="008B51EF" w:rsidRDefault="00381240" w:rsidP="009F50E0">
            <w:pPr>
              <w:keepNext/>
              <w:keepLines/>
              <w:jc w:val="center"/>
              <w:rPr>
                <w:color w:val="000000"/>
              </w:rPr>
            </w:pPr>
            <w:r w:rsidRPr="008B51EF">
              <w:rPr>
                <w:color w:val="000000"/>
              </w:rPr>
              <w:t>(MW)</w:t>
            </w:r>
          </w:p>
        </w:tc>
        <w:tc>
          <w:tcPr>
            <w:tcW w:w="1460" w:type="dxa"/>
            <w:tcBorders>
              <w:top w:val="nil"/>
              <w:left w:val="nil"/>
              <w:bottom w:val="nil"/>
              <w:right w:val="single" w:sz="4" w:space="0" w:color="auto"/>
            </w:tcBorders>
            <w:shd w:val="clear" w:color="000000" w:fill="FFFFFF"/>
            <w:hideMark/>
          </w:tcPr>
          <w:p w14:paraId="3E210563" w14:textId="77777777" w:rsidR="00381240" w:rsidRPr="008B51EF" w:rsidRDefault="00381240" w:rsidP="00381240">
            <w:pPr>
              <w:jc w:val="center"/>
              <w:rPr>
                <w:color w:val="000000"/>
              </w:rPr>
            </w:pPr>
            <w:r w:rsidRPr="008B51EF">
              <w:rPr>
                <w:color w:val="000000"/>
              </w:rPr>
              <w:t>(MW)</w:t>
            </w:r>
          </w:p>
        </w:tc>
        <w:tc>
          <w:tcPr>
            <w:tcW w:w="1240" w:type="dxa"/>
            <w:tcBorders>
              <w:top w:val="nil"/>
              <w:left w:val="nil"/>
              <w:bottom w:val="nil"/>
              <w:right w:val="single" w:sz="4" w:space="0" w:color="auto"/>
            </w:tcBorders>
            <w:shd w:val="clear" w:color="000000" w:fill="FFFFFF"/>
            <w:hideMark/>
          </w:tcPr>
          <w:p w14:paraId="13D88AB3" w14:textId="77777777" w:rsidR="00381240" w:rsidRPr="008B51EF" w:rsidRDefault="00381240" w:rsidP="00381240">
            <w:pPr>
              <w:jc w:val="center"/>
              <w:rPr>
                <w:color w:val="000000"/>
              </w:rPr>
            </w:pPr>
            <w:r w:rsidRPr="008B51EF">
              <w:rPr>
                <w:color w:val="000000"/>
              </w:rPr>
              <w:t>(%)</w:t>
            </w:r>
          </w:p>
        </w:tc>
      </w:tr>
      <w:tr w:rsidR="00381240" w:rsidRPr="00381240" w14:paraId="408D3B10"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000000" w:fill="FFFFFF"/>
            <w:vAlign w:val="center"/>
            <w:hideMark/>
          </w:tcPr>
          <w:p w14:paraId="3DEA5E2F" w14:textId="77777777" w:rsidR="00381240" w:rsidRPr="008B51EF" w:rsidRDefault="00381240" w:rsidP="00381240">
            <w:pPr>
              <w:jc w:val="center"/>
              <w:rPr>
                <w:color w:val="000000"/>
              </w:rPr>
            </w:pPr>
            <w:r w:rsidRPr="008B51EF">
              <w:rPr>
                <w:color w:val="000000"/>
              </w:rPr>
              <w:t> </w:t>
            </w:r>
          </w:p>
        </w:tc>
        <w:tc>
          <w:tcPr>
            <w:tcW w:w="1320" w:type="dxa"/>
            <w:tcBorders>
              <w:top w:val="nil"/>
              <w:left w:val="nil"/>
              <w:bottom w:val="single" w:sz="4" w:space="0" w:color="auto"/>
              <w:right w:val="single" w:sz="4" w:space="0" w:color="auto"/>
            </w:tcBorders>
            <w:shd w:val="clear" w:color="000000" w:fill="FFFFFF"/>
            <w:noWrap/>
            <w:vAlign w:val="bottom"/>
            <w:hideMark/>
          </w:tcPr>
          <w:p w14:paraId="632C0A76" w14:textId="77777777" w:rsidR="00381240" w:rsidRPr="008B51EF" w:rsidRDefault="00381240" w:rsidP="009F50E0">
            <w:pPr>
              <w:keepNext/>
              <w:keepLines/>
              <w:jc w:val="center"/>
              <w:rPr>
                <w:color w:val="000000"/>
              </w:rPr>
            </w:pPr>
            <w:r w:rsidRPr="008B51EF">
              <w:rPr>
                <w:color w:val="000000"/>
              </w:rPr>
              <w:t>(A)</w:t>
            </w:r>
          </w:p>
        </w:tc>
        <w:tc>
          <w:tcPr>
            <w:tcW w:w="1260" w:type="dxa"/>
            <w:tcBorders>
              <w:top w:val="nil"/>
              <w:left w:val="nil"/>
              <w:bottom w:val="single" w:sz="4" w:space="0" w:color="auto"/>
              <w:right w:val="single" w:sz="4" w:space="0" w:color="auto"/>
            </w:tcBorders>
            <w:shd w:val="clear" w:color="000000" w:fill="FFFFFF"/>
            <w:noWrap/>
            <w:vAlign w:val="bottom"/>
            <w:hideMark/>
          </w:tcPr>
          <w:p w14:paraId="2B9A4575" w14:textId="77777777" w:rsidR="00381240" w:rsidRPr="008B51EF" w:rsidRDefault="00381240" w:rsidP="009F50E0">
            <w:pPr>
              <w:keepNext/>
              <w:keepLines/>
              <w:jc w:val="center"/>
              <w:rPr>
                <w:color w:val="000000"/>
              </w:rPr>
            </w:pPr>
            <w:r w:rsidRPr="008B51EF">
              <w:rPr>
                <w:color w:val="000000"/>
              </w:rPr>
              <w:t>(B)</w:t>
            </w:r>
          </w:p>
        </w:tc>
        <w:tc>
          <w:tcPr>
            <w:tcW w:w="1260" w:type="dxa"/>
            <w:tcBorders>
              <w:top w:val="nil"/>
              <w:left w:val="nil"/>
              <w:bottom w:val="single" w:sz="4" w:space="0" w:color="auto"/>
              <w:right w:val="single" w:sz="4" w:space="0" w:color="auto"/>
            </w:tcBorders>
            <w:shd w:val="clear" w:color="000000" w:fill="FFFFFF"/>
            <w:noWrap/>
            <w:vAlign w:val="bottom"/>
            <w:hideMark/>
          </w:tcPr>
          <w:p w14:paraId="58676541" w14:textId="78585DDE" w:rsidR="00381240" w:rsidRPr="008B51EF" w:rsidRDefault="00381240" w:rsidP="009F50E0">
            <w:pPr>
              <w:keepNext/>
              <w:keepLines/>
              <w:jc w:val="center"/>
              <w:rPr>
                <w:color w:val="000000"/>
              </w:rPr>
            </w:pPr>
            <w:r w:rsidRPr="008B51EF">
              <w:rPr>
                <w:color w:val="000000"/>
              </w:rPr>
              <w:t>(</w:t>
            </w:r>
            <w:proofErr w:type="spellStart"/>
            <w:r w:rsidR="009B2888" w:rsidRPr="008B51EF">
              <w:rPr>
                <w:color w:val="000000"/>
              </w:rPr>
              <w:t>B</w:t>
            </w:r>
            <w:r w:rsidR="00DC7EB7" w:rsidRPr="008B51EF">
              <w:rPr>
                <w:color w:val="000000"/>
              </w:rPr>
              <w:t>,</w:t>
            </w:r>
            <w:r w:rsidRPr="008B51EF">
              <w:rPr>
                <w:color w:val="000000"/>
              </w:rPr>
              <w:t>C</w:t>
            </w:r>
            <w:proofErr w:type="spellEnd"/>
            <w:r w:rsidRPr="008B51EF">
              <w:rPr>
                <w:color w:val="000000"/>
              </w:rPr>
              <w:t>)</w:t>
            </w:r>
          </w:p>
        </w:tc>
        <w:tc>
          <w:tcPr>
            <w:tcW w:w="1460" w:type="dxa"/>
            <w:tcBorders>
              <w:top w:val="nil"/>
              <w:left w:val="nil"/>
              <w:bottom w:val="single" w:sz="4" w:space="0" w:color="auto"/>
              <w:right w:val="single" w:sz="4" w:space="0" w:color="auto"/>
            </w:tcBorders>
            <w:shd w:val="clear" w:color="000000" w:fill="FFFFFF"/>
            <w:noWrap/>
            <w:vAlign w:val="bottom"/>
            <w:hideMark/>
          </w:tcPr>
          <w:p w14:paraId="11A460F5" w14:textId="73BDDCEE" w:rsidR="00381240" w:rsidRPr="008B51EF" w:rsidRDefault="00381240" w:rsidP="009F50E0">
            <w:pPr>
              <w:keepNext/>
              <w:keepLines/>
              <w:jc w:val="center"/>
              <w:rPr>
                <w:color w:val="000000"/>
              </w:rPr>
            </w:pPr>
            <w:r w:rsidRPr="008B51EF">
              <w:rPr>
                <w:color w:val="000000"/>
              </w:rPr>
              <w:t>(</w:t>
            </w:r>
            <w:r w:rsidR="00DC7EB7" w:rsidRPr="008B51EF">
              <w:rPr>
                <w:color w:val="000000"/>
              </w:rPr>
              <w:t>B</w:t>
            </w:r>
            <w:r w:rsidRPr="008B51EF">
              <w:rPr>
                <w:color w:val="000000"/>
              </w:rPr>
              <w:t>)</w:t>
            </w:r>
          </w:p>
        </w:tc>
        <w:tc>
          <w:tcPr>
            <w:tcW w:w="1360" w:type="dxa"/>
            <w:tcBorders>
              <w:top w:val="nil"/>
              <w:left w:val="nil"/>
              <w:bottom w:val="single" w:sz="4" w:space="0" w:color="auto"/>
              <w:right w:val="single" w:sz="4" w:space="0" w:color="auto"/>
            </w:tcBorders>
            <w:shd w:val="clear" w:color="000000" w:fill="FFFFFF"/>
            <w:noWrap/>
            <w:vAlign w:val="bottom"/>
            <w:hideMark/>
          </w:tcPr>
          <w:p w14:paraId="6A285185" w14:textId="55D18A60" w:rsidR="00381240" w:rsidRPr="008B51EF" w:rsidRDefault="00F3394A" w:rsidP="009F50E0">
            <w:pPr>
              <w:keepNext/>
              <w:keepLines/>
              <w:jc w:val="center"/>
              <w:rPr>
                <w:color w:val="000000"/>
              </w:rPr>
            </w:pPr>
            <w:r w:rsidRPr="008B51EF">
              <w:rPr>
                <w:color w:val="000000"/>
              </w:rPr>
              <w:t>(</w:t>
            </w:r>
            <w:r w:rsidR="009D79C0" w:rsidRPr="008B51EF">
              <w:rPr>
                <w:color w:val="000000"/>
              </w:rPr>
              <w:t>B</w:t>
            </w:r>
            <w:r w:rsidRPr="008B51EF">
              <w:rPr>
                <w:color w:val="000000"/>
              </w:rPr>
              <w:t>)</w:t>
            </w:r>
          </w:p>
        </w:tc>
        <w:tc>
          <w:tcPr>
            <w:tcW w:w="1460" w:type="dxa"/>
            <w:tcBorders>
              <w:top w:val="nil"/>
              <w:left w:val="nil"/>
              <w:bottom w:val="single" w:sz="4" w:space="0" w:color="auto"/>
              <w:right w:val="single" w:sz="4" w:space="0" w:color="auto"/>
            </w:tcBorders>
            <w:shd w:val="clear" w:color="000000" w:fill="FFFFFF"/>
            <w:noWrap/>
            <w:vAlign w:val="bottom"/>
            <w:hideMark/>
          </w:tcPr>
          <w:p w14:paraId="27CC5633" w14:textId="77777777" w:rsidR="00381240" w:rsidRPr="008B51EF" w:rsidRDefault="00381240" w:rsidP="00381240">
            <w:pPr>
              <w:jc w:val="center"/>
              <w:rPr>
                <w:color w:val="000000"/>
              </w:rPr>
            </w:pPr>
            <w:r w:rsidRPr="008B51EF">
              <w:rPr>
                <w:color w:val="000000"/>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513B82B" w14:textId="62B65EB6" w:rsidR="00381240" w:rsidRPr="008B51EF" w:rsidRDefault="00381240" w:rsidP="00381240">
            <w:pPr>
              <w:jc w:val="center"/>
              <w:rPr>
                <w:color w:val="000000"/>
              </w:rPr>
            </w:pPr>
            <w:r w:rsidRPr="008B51EF">
              <w:rPr>
                <w:color w:val="000000"/>
              </w:rPr>
              <w:t>(</w:t>
            </w:r>
            <w:r w:rsidR="00F3394A" w:rsidRPr="008B51EF">
              <w:rPr>
                <w:color w:val="000000"/>
              </w:rPr>
              <w:t>D</w:t>
            </w:r>
            <w:r w:rsidRPr="008B51EF">
              <w:rPr>
                <w:color w:val="000000"/>
              </w:rPr>
              <w:t>)</w:t>
            </w:r>
          </w:p>
        </w:tc>
      </w:tr>
      <w:tr w:rsidR="00381240" w:rsidRPr="00381240" w14:paraId="75B00923"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51FAECE" w14:textId="23586597" w:rsidR="00381240" w:rsidRPr="008B51EF" w:rsidRDefault="00381240" w:rsidP="00381240">
            <w:pPr>
              <w:jc w:val="center"/>
              <w:rPr>
                <w:color w:val="000000"/>
              </w:rPr>
            </w:pPr>
            <w:r w:rsidRPr="008B51EF">
              <w:rPr>
                <w:color w:val="000000"/>
              </w:rPr>
              <w:t>2025</w:t>
            </w:r>
          </w:p>
        </w:tc>
        <w:tc>
          <w:tcPr>
            <w:tcW w:w="1320" w:type="dxa"/>
            <w:tcBorders>
              <w:top w:val="nil"/>
              <w:left w:val="nil"/>
              <w:bottom w:val="single" w:sz="4" w:space="0" w:color="auto"/>
              <w:right w:val="single" w:sz="4" w:space="0" w:color="auto"/>
            </w:tcBorders>
            <w:shd w:val="clear" w:color="000000" w:fill="FFFFFF"/>
            <w:noWrap/>
            <w:vAlign w:val="bottom"/>
            <w:hideMark/>
          </w:tcPr>
          <w:p w14:paraId="2B81CE15" w14:textId="113E1DFC" w:rsidR="00381240" w:rsidRPr="008B51EF" w:rsidRDefault="00381240" w:rsidP="009F50E0">
            <w:pPr>
              <w:keepNext/>
              <w:keepLines/>
              <w:jc w:val="center"/>
            </w:pPr>
            <w:r>
              <w:rPr>
                <w:color w:val="000000"/>
              </w:rPr>
              <w:t>17,716</w:t>
            </w:r>
          </w:p>
        </w:tc>
        <w:tc>
          <w:tcPr>
            <w:tcW w:w="1260" w:type="dxa"/>
            <w:tcBorders>
              <w:top w:val="nil"/>
              <w:left w:val="nil"/>
              <w:bottom w:val="single" w:sz="4" w:space="0" w:color="auto"/>
              <w:right w:val="single" w:sz="4" w:space="0" w:color="auto"/>
            </w:tcBorders>
            <w:shd w:val="clear" w:color="000000" w:fill="FFFFFF"/>
            <w:noWrap/>
            <w:vAlign w:val="bottom"/>
            <w:hideMark/>
          </w:tcPr>
          <w:p w14:paraId="2DCBCCC7" w14:textId="79F0A47D" w:rsidR="00381240" w:rsidRPr="008B51EF" w:rsidRDefault="00BC2514" w:rsidP="009F50E0">
            <w:pPr>
              <w:keepNext/>
              <w:keepLines/>
              <w:jc w:val="center"/>
            </w:pPr>
            <w:r>
              <w:rPr>
                <w:color w:val="000000"/>
              </w:rPr>
              <w:t>13</w:t>
            </w:r>
            <w:r w:rsidR="00381240">
              <w:rPr>
                <w:color w:val="000000"/>
              </w:rPr>
              <w:t>,</w:t>
            </w:r>
            <w:r>
              <w:rPr>
                <w:color w:val="000000"/>
              </w:rPr>
              <w:t>86</w:t>
            </w:r>
            <w:r w:rsidR="00381240">
              <w:rPr>
                <w:color w:val="000000"/>
              </w:rPr>
              <w:t>8</w:t>
            </w:r>
          </w:p>
        </w:tc>
        <w:tc>
          <w:tcPr>
            <w:tcW w:w="1260" w:type="dxa"/>
            <w:tcBorders>
              <w:top w:val="nil"/>
              <w:left w:val="nil"/>
              <w:bottom w:val="single" w:sz="4" w:space="0" w:color="auto"/>
              <w:right w:val="single" w:sz="4" w:space="0" w:color="auto"/>
            </w:tcBorders>
            <w:shd w:val="clear" w:color="000000" w:fill="FFFFFF"/>
            <w:noWrap/>
            <w:vAlign w:val="bottom"/>
            <w:hideMark/>
          </w:tcPr>
          <w:p w14:paraId="7E7BBD44" w14:textId="2653F3F4" w:rsidR="00381240" w:rsidRPr="008B51EF" w:rsidRDefault="00C67871" w:rsidP="009F50E0">
            <w:pPr>
              <w:keepNext/>
              <w:keepLines/>
              <w:jc w:val="center"/>
            </w:pPr>
            <w:r>
              <w:rPr>
                <w:color w:val="000000"/>
              </w:rPr>
              <w:t>7</w:t>
            </w:r>
            <w:r w:rsidR="00381240">
              <w:rPr>
                <w:color w:val="000000"/>
              </w:rPr>
              <w:t>,</w:t>
            </w:r>
            <w:r>
              <w:rPr>
                <w:color w:val="000000"/>
              </w:rPr>
              <w:t>410</w:t>
            </w:r>
          </w:p>
        </w:tc>
        <w:tc>
          <w:tcPr>
            <w:tcW w:w="1460" w:type="dxa"/>
            <w:tcBorders>
              <w:top w:val="nil"/>
              <w:left w:val="nil"/>
              <w:bottom w:val="single" w:sz="4" w:space="0" w:color="auto"/>
              <w:right w:val="single" w:sz="4" w:space="0" w:color="auto"/>
            </w:tcBorders>
            <w:shd w:val="clear" w:color="000000" w:fill="FFFFFF"/>
            <w:noWrap/>
            <w:vAlign w:val="bottom"/>
            <w:hideMark/>
          </w:tcPr>
          <w:p w14:paraId="6C18C4C6" w14:textId="7DC29467" w:rsidR="00381240" w:rsidRPr="008B51EF" w:rsidRDefault="00381240" w:rsidP="009F50E0">
            <w:pPr>
              <w:keepNext/>
              <w:keepLines/>
              <w:jc w:val="center"/>
            </w:pPr>
            <w:r>
              <w:rPr>
                <w:color w:val="000000"/>
              </w:rPr>
              <w:t>729</w:t>
            </w:r>
          </w:p>
        </w:tc>
        <w:tc>
          <w:tcPr>
            <w:tcW w:w="1360" w:type="dxa"/>
            <w:tcBorders>
              <w:top w:val="nil"/>
              <w:left w:val="nil"/>
              <w:bottom w:val="single" w:sz="4" w:space="0" w:color="auto"/>
              <w:right w:val="single" w:sz="4" w:space="0" w:color="auto"/>
            </w:tcBorders>
            <w:shd w:val="clear" w:color="000000" w:fill="FFFFFF"/>
            <w:noWrap/>
            <w:vAlign w:val="bottom"/>
            <w:hideMark/>
          </w:tcPr>
          <w:p w14:paraId="0D41CF80" w14:textId="2CC43F89" w:rsidR="00381240" w:rsidRPr="008B51EF" w:rsidRDefault="00381240" w:rsidP="009F50E0">
            <w:pPr>
              <w:keepNext/>
              <w:keepLines/>
              <w:jc w:val="center"/>
            </w:pPr>
            <w:r>
              <w:rPr>
                <w:color w:val="000000"/>
              </w:rPr>
              <w:t>22,007</w:t>
            </w:r>
          </w:p>
        </w:tc>
        <w:tc>
          <w:tcPr>
            <w:tcW w:w="1460" w:type="dxa"/>
            <w:tcBorders>
              <w:top w:val="nil"/>
              <w:left w:val="nil"/>
              <w:bottom w:val="single" w:sz="4" w:space="0" w:color="auto"/>
              <w:right w:val="single" w:sz="4" w:space="0" w:color="auto"/>
            </w:tcBorders>
            <w:shd w:val="clear" w:color="000000" w:fill="FFFFFF"/>
            <w:noWrap/>
            <w:vAlign w:val="bottom"/>
            <w:hideMark/>
          </w:tcPr>
          <w:p w14:paraId="30C226CF" w14:textId="7FC63804" w:rsidR="00381240" w:rsidRPr="008B51EF" w:rsidRDefault="00381240" w:rsidP="00381240">
            <w:pPr>
              <w:jc w:val="center"/>
              <w:rPr>
                <w:color w:val="000000"/>
              </w:rPr>
            </w:pPr>
            <w:r w:rsidRPr="008B51EF">
              <w:rPr>
                <w:color w:val="000000"/>
              </w:rPr>
              <w:t>(999)</w:t>
            </w:r>
          </w:p>
        </w:tc>
        <w:tc>
          <w:tcPr>
            <w:tcW w:w="1240" w:type="dxa"/>
            <w:tcBorders>
              <w:top w:val="nil"/>
              <w:left w:val="nil"/>
              <w:bottom w:val="single" w:sz="4" w:space="0" w:color="auto"/>
              <w:right w:val="single" w:sz="4" w:space="0" w:color="auto"/>
            </w:tcBorders>
            <w:shd w:val="clear" w:color="000000" w:fill="FFFFFF"/>
            <w:noWrap/>
            <w:vAlign w:val="bottom"/>
            <w:hideMark/>
          </w:tcPr>
          <w:p w14:paraId="2357ADB7" w14:textId="725FFC11" w:rsidR="00381240" w:rsidRPr="008B51EF" w:rsidRDefault="00381240" w:rsidP="00381240">
            <w:pPr>
              <w:jc w:val="center"/>
              <w:rPr>
                <w:color w:val="000000"/>
              </w:rPr>
            </w:pPr>
            <w:r w:rsidRPr="008B51EF">
              <w:rPr>
                <w:color w:val="000000"/>
              </w:rPr>
              <w:t>24%</w:t>
            </w:r>
          </w:p>
        </w:tc>
      </w:tr>
      <w:tr w:rsidR="00381240" w:rsidRPr="00381240" w14:paraId="6E3E755D"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D5B84BD" w14:textId="675619E0" w:rsidR="00381240" w:rsidRPr="008B51EF" w:rsidRDefault="00381240" w:rsidP="00381240">
            <w:pPr>
              <w:jc w:val="center"/>
              <w:rPr>
                <w:color w:val="000000"/>
              </w:rPr>
            </w:pPr>
            <w:r w:rsidRPr="008B51EF">
              <w:rPr>
                <w:color w:val="000000"/>
              </w:rPr>
              <w:t>2026</w:t>
            </w:r>
          </w:p>
        </w:tc>
        <w:tc>
          <w:tcPr>
            <w:tcW w:w="1320" w:type="dxa"/>
            <w:tcBorders>
              <w:top w:val="nil"/>
              <w:left w:val="nil"/>
              <w:bottom w:val="single" w:sz="4" w:space="0" w:color="auto"/>
              <w:right w:val="single" w:sz="4" w:space="0" w:color="auto"/>
            </w:tcBorders>
            <w:shd w:val="clear" w:color="000000" w:fill="FFFFFF"/>
            <w:noWrap/>
            <w:vAlign w:val="bottom"/>
            <w:hideMark/>
          </w:tcPr>
          <w:p w14:paraId="3B003EC5" w14:textId="6D2B9065" w:rsidR="00381240" w:rsidRPr="008B51EF" w:rsidRDefault="00381240" w:rsidP="009F50E0">
            <w:pPr>
              <w:keepNext/>
              <w:keepLines/>
              <w:jc w:val="center"/>
            </w:pPr>
            <w:r>
              <w:rPr>
                <w:color w:val="000000"/>
              </w:rPr>
              <w:t>18,480</w:t>
            </w:r>
          </w:p>
        </w:tc>
        <w:tc>
          <w:tcPr>
            <w:tcW w:w="1260" w:type="dxa"/>
            <w:tcBorders>
              <w:top w:val="nil"/>
              <w:left w:val="nil"/>
              <w:bottom w:val="single" w:sz="4" w:space="0" w:color="auto"/>
              <w:right w:val="single" w:sz="4" w:space="0" w:color="auto"/>
            </w:tcBorders>
            <w:shd w:val="clear" w:color="000000" w:fill="FFFFFF"/>
            <w:noWrap/>
            <w:vAlign w:val="bottom"/>
            <w:hideMark/>
          </w:tcPr>
          <w:p w14:paraId="1374EC01" w14:textId="3B4F73B8" w:rsidR="00381240" w:rsidRPr="008B51EF" w:rsidRDefault="00381240" w:rsidP="009F50E0">
            <w:pPr>
              <w:keepNext/>
              <w:keepLines/>
              <w:jc w:val="center"/>
            </w:pPr>
            <w:r>
              <w:rPr>
                <w:color w:val="000000"/>
              </w:rPr>
              <w:t>14,708</w:t>
            </w:r>
          </w:p>
        </w:tc>
        <w:tc>
          <w:tcPr>
            <w:tcW w:w="1260" w:type="dxa"/>
            <w:tcBorders>
              <w:top w:val="nil"/>
              <w:left w:val="nil"/>
              <w:bottom w:val="single" w:sz="4" w:space="0" w:color="auto"/>
              <w:right w:val="single" w:sz="4" w:space="0" w:color="auto"/>
            </w:tcBorders>
            <w:shd w:val="clear" w:color="000000" w:fill="FFFFFF"/>
            <w:noWrap/>
            <w:vAlign w:val="bottom"/>
            <w:hideMark/>
          </w:tcPr>
          <w:p w14:paraId="078E8D14" w14:textId="72172B96" w:rsidR="00381240" w:rsidRPr="008B51EF" w:rsidRDefault="00381240" w:rsidP="009F50E0">
            <w:pPr>
              <w:keepNext/>
              <w:keepLines/>
              <w:jc w:val="center"/>
            </w:pPr>
            <w:r>
              <w:rPr>
                <w:color w:val="000000"/>
              </w:rPr>
              <w:t>7,522</w:t>
            </w:r>
          </w:p>
        </w:tc>
        <w:tc>
          <w:tcPr>
            <w:tcW w:w="1460" w:type="dxa"/>
            <w:tcBorders>
              <w:top w:val="nil"/>
              <w:left w:val="nil"/>
              <w:bottom w:val="single" w:sz="4" w:space="0" w:color="auto"/>
              <w:right w:val="single" w:sz="4" w:space="0" w:color="auto"/>
            </w:tcBorders>
            <w:shd w:val="clear" w:color="000000" w:fill="FFFFFF"/>
            <w:noWrap/>
            <w:vAlign w:val="bottom"/>
            <w:hideMark/>
          </w:tcPr>
          <w:p w14:paraId="02C6D9EA" w14:textId="7DF02036" w:rsidR="00381240" w:rsidRPr="008B51EF" w:rsidRDefault="00381240" w:rsidP="009F50E0">
            <w:pPr>
              <w:keepNext/>
              <w:keepLines/>
              <w:jc w:val="center"/>
            </w:pPr>
            <w:r>
              <w:rPr>
                <w:color w:val="000000"/>
              </w:rPr>
              <w:t>735</w:t>
            </w:r>
          </w:p>
        </w:tc>
        <w:tc>
          <w:tcPr>
            <w:tcW w:w="1360" w:type="dxa"/>
            <w:tcBorders>
              <w:top w:val="nil"/>
              <w:left w:val="nil"/>
              <w:bottom w:val="single" w:sz="4" w:space="0" w:color="auto"/>
              <w:right w:val="single" w:sz="4" w:space="0" w:color="auto"/>
            </w:tcBorders>
            <w:shd w:val="clear" w:color="000000" w:fill="FFFFFF"/>
            <w:noWrap/>
            <w:vAlign w:val="bottom"/>
            <w:hideMark/>
          </w:tcPr>
          <w:p w14:paraId="21A2887A" w14:textId="0010A83D" w:rsidR="00381240" w:rsidRPr="008B51EF" w:rsidRDefault="00381240" w:rsidP="009F50E0">
            <w:pPr>
              <w:keepNext/>
              <w:keepLines/>
              <w:jc w:val="center"/>
            </w:pPr>
            <w:r>
              <w:rPr>
                <w:color w:val="000000"/>
              </w:rPr>
              <w:t>22,965</w:t>
            </w:r>
          </w:p>
        </w:tc>
        <w:tc>
          <w:tcPr>
            <w:tcW w:w="1460" w:type="dxa"/>
            <w:tcBorders>
              <w:top w:val="nil"/>
              <w:left w:val="nil"/>
              <w:bottom w:val="single" w:sz="4" w:space="0" w:color="auto"/>
              <w:right w:val="single" w:sz="4" w:space="0" w:color="auto"/>
            </w:tcBorders>
            <w:shd w:val="clear" w:color="000000" w:fill="FFFFFF"/>
            <w:noWrap/>
            <w:vAlign w:val="bottom"/>
            <w:hideMark/>
          </w:tcPr>
          <w:p w14:paraId="735A7913" w14:textId="1A12DFF0" w:rsidR="00381240" w:rsidRPr="008B51EF" w:rsidRDefault="00381240" w:rsidP="00381240">
            <w:pPr>
              <w:jc w:val="center"/>
              <w:rPr>
                <w:color w:val="000000"/>
              </w:rPr>
            </w:pPr>
            <w:r w:rsidRPr="008B51EF">
              <w:rPr>
                <w:color w:val="000000"/>
              </w:rPr>
              <w:t>(1,053)</w:t>
            </w:r>
          </w:p>
        </w:tc>
        <w:tc>
          <w:tcPr>
            <w:tcW w:w="1240" w:type="dxa"/>
            <w:tcBorders>
              <w:top w:val="nil"/>
              <w:left w:val="nil"/>
              <w:bottom w:val="single" w:sz="4" w:space="0" w:color="auto"/>
              <w:right w:val="single" w:sz="4" w:space="0" w:color="auto"/>
            </w:tcBorders>
            <w:shd w:val="clear" w:color="000000" w:fill="FFFFFF"/>
            <w:noWrap/>
            <w:vAlign w:val="bottom"/>
            <w:hideMark/>
          </w:tcPr>
          <w:p w14:paraId="70E3CD0E" w14:textId="6125C15E" w:rsidR="00381240" w:rsidRPr="008B51EF" w:rsidRDefault="00381240" w:rsidP="00381240">
            <w:pPr>
              <w:jc w:val="center"/>
              <w:rPr>
                <w:color w:val="000000"/>
              </w:rPr>
            </w:pPr>
            <w:r w:rsidRPr="008B51EF">
              <w:rPr>
                <w:color w:val="000000"/>
              </w:rPr>
              <w:t>24%</w:t>
            </w:r>
          </w:p>
        </w:tc>
      </w:tr>
      <w:tr w:rsidR="00381240" w:rsidRPr="00381240" w14:paraId="714F960B"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D29648C" w14:textId="00783014" w:rsidR="00381240" w:rsidRPr="008B51EF" w:rsidRDefault="00381240" w:rsidP="00381240">
            <w:pPr>
              <w:jc w:val="center"/>
              <w:rPr>
                <w:color w:val="000000"/>
              </w:rPr>
            </w:pPr>
            <w:r w:rsidRPr="008B51EF">
              <w:rPr>
                <w:color w:val="000000"/>
              </w:rPr>
              <w:t>2027</w:t>
            </w:r>
          </w:p>
        </w:tc>
        <w:tc>
          <w:tcPr>
            <w:tcW w:w="1320" w:type="dxa"/>
            <w:tcBorders>
              <w:top w:val="nil"/>
              <w:left w:val="nil"/>
              <w:bottom w:val="single" w:sz="4" w:space="0" w:color="auto"/>
              <w:right w:val="single" w:sz="4" w:space="0" w:color="auto"/>
            </w:tcBorders>
            <w:shd w:val="clear" w:color="000000" w:fill="FFFFFF"/>
            <w:noWrap/>
            <w:vAlign w:val="bottom"/>
            <w:hideMark/>
          </w:tcPr>
          <w:p w14:paraId="6803411F" w14:textId="1DD91302" w:rsidR="00381240" w:rsidRPr="008B51EF" w:rsidRDefault="00381240" w:rsidP="00381240">
            <w:pPr>
              <w:jc w:val="center"/>
            </w:pPr>
            <w:r>
              <w:rPr>
                <w:color w:val="000000"/>
              </w:rPr>
              <w:t>19,971</w:t>
            </w:r>
          </w:p>
        </w:tc>
        <w:tc>
          <w:tcPr>
            <w:tcW w:w="1260" w:type="dxa"/>
            <w:tcBorders>
              <w:top w:val="nil"/>
              <w:left w:val="nil"/>
              <w:bottom w:val="single" w:sz="4" w:space="0" w:color="auto"/>
              <w:right w:val="single" w:sz="4" w:space="0" w:color="auto"/>
            </w:tcBorders>
            <w:shd w:val="clear" w:color="000000" w:fill="FFFFFF"/>
            <w:noWrap/>
            <w:vAlign w:val="bottom"/>
            <w:hideMark/>
          </w:tcPr>
          <w:p w14:paraId="5FE6429D" w14:textId="2BBAFFDB" w:rsidR="00381240" w:rsidRPr="008B51EF" w:rsidRDefault="00381240" w:rsidP="00381240">
            <w:pPr>
              <w:jc w:val="center"/>
            </w:pPr>
            <w:r>
              <w:rPr>
                <w:color w:val="000000"/>
              </w:rPr>
              <w:t>16,028</w:t>
            </w:r>
          </w:p>
        </w:tc>
        <w:tc>
          <w:tcPr>
            <w:tcW w:w="1260" w:type="dxa"/>
            <w:tcBorders>
              <w:top w:val="nil"/>
              <w:left w:val="nil"/>
              <w:bottom w:val="single" w:sz="4" w:space="0" w:color="auto"/>
              <w:right w:val="single" w:sz="4" w:space="0" w:color="auto"/>
            </w:tcBorders>
            <w:shd w:val="clear" w:color="000000" w:fill="FFFFFF"/>
            <w:noWrap/>
            <w:vAlign w:val="bottom"/>
            <w:hideMark/>
          </w:tcPr>
          <w:p w14:paraId="1F9660A5" w14:textId="3FF64884" w:rsidR="00381240" w:rsidRPr="008B51EF" w:rsidRDefault="00381240" w:rsidP="00381240">
            <w:pPr>
              <w:jc w:val="center"/>
            </w:pPr>
            <w:r>
              <w:rPr>
                <w:color w:val="000000"/>
              </w:rPr>
              <w:t>7,522</w:t>
            </w:r>
          </w:p>
        </w:tc>
        <w:tc>
          <w:tcPr>
            <w:tcW w:w="1460" w:type="dxa"/>
            <w:tcBorders>
              <w:top w:val="nil"/>
              <w:left w:val="nil"/>
              <w:bottom w:val="single" w:sz="4" w:space="0" w:color="auto"/>
              <w:right w:val="single" w:sz="4" w:space="0" w:color="auto"/>
            </w:tcBorders>
            <w:shd w:val="clear" w:color="000000" w:fill="FFFFFF"/>
            <w:noWrap/>
            <w:vAlign w:val="bottom"/>
            <w:hideMark/>
          </w:tcPr>
          <w:p w14:paraId="67066B16" w14:textId="6648CAE0" w:rsidR="00381240" w:rsidRPr="008B51EF" w:rsidRDefault="00381240" w:rsidP="00381240">
            <w:pPr>
              <w:jc w:val="center"/>
            </w:pPr>
            <w:r>
              <w:rPr>
                <w:color w:val="000000"/>
              </w:rPr>
              <w:t>739</w:t>
            </w:r>
          </w:p>
        </w:tc>
        <w:tc>
          <w:tcPr>
            <w:tcW w:w="1360" w:type="dxa"/>
            <w:tcBorders>
              <w:top w:val="nil"/>
              <w:left w:val="nil"/>
              <w:bottom w:val="single" w:sz="4" w:space="0" w:color="auto"/>
              <w:right w:val="single" w:sz="4" w:space="0" w:color="auto"/>
            </w:tcBorders>
            <w:shd w:val="clear" w:color="000000" w:fill="FFFFFF"/>
            <w:noWrap/>
            <w:vAlign w:val="bottom"/>
            <w:hideMark/>
          </w:tcPr>
          <w:p w14:paraId="7C472054" w14:textId="119BF082" w:rsidR="00381240" w:rsidRPr="008B51EF" w:rsidRDefault="00381240" w:rsidP="00381240">
            <w:pPr>
              <w:jc w:val="center"/>
            </w:pPr>
            <w:r>
              <w:rPr>
                <w:color w:val="000000"/>
              </w:rPr>
              <w:t>24,290</w:t>
            </w:r>
          </w:p>
        </w:tc>
        <w:tc>
          <w:tcPr>
            <w:tcW w:w="1460" w:type="dxa"/>
            <w:tcBorders>
              <w:top w:val="nil"/>
              <w:left w:val="nil"/>
              <w:bottom w:val="single" w:sz="4" w:space="0" w:color="auto"/>
              <w:right w:val="single" w:sz="4" w:space="0" w:color="auto"/>
            </w:tcBorders>
            <w:shd w:val="clear" w:color="000000" w:fill="FFFFFF"/>
            <w:noWrap/>
            <w:vAlign w:val="bottom"/>
            <w:hideMark/>
          </w:tcPr>
          <w:p w14:paraId="4FB02196" w14:textId="26666BBE" w:rsidR="00381240" w:rsidRPr="008B51EF" w:rsidRDefault="00381240" w:rsidP="00381240">
            <w:pPr>
              <w:jc w:val="center"/>
              <w:rPr>
                <w:color w:val="000000"/>
              </w:rPr>
            </w:pPr>
            <w:r w:rsidRPr="008B51EF">
              <w:rPr>
                <w:color w:val="000000"/>
              </w:rPr>
              <w:t>(609)</w:t>
            </w:r>
          </w:p>
        </w:tc>
        <w:tc>
          <w:tcPr>
            <w:tcW w:w="1240" w:type="dxa"/>
            <w:tcBorders>
              <w:top w:val="nil"/>
              <w:left w:val="nil"/>
              <w:bottom w:val="single" w:sz="4" w:space="0" w:color="auto"/>
              <w:right w:val="single" w:sz="4" w:space="0" w:color="auto"/>
            </w:tcBorders>
            <w:shd w:val="clear" w:color="000000" w:fill="FFFFFF"/>
            <w:noWrap/>
            <w:vAlign w:val="bottom"/>
            <w:hideMark/>
          </w:tcPr>
          <w:p w14:paraId="33056710" w14:textId="42401A8F" w:rsidR="00381240" w:rsidRPr="008B51EF" w:rsidRDefault="00381240" w:rsidP="00381240">
            <w:pPr>
              <w:jc w:val="center"/>
              <w:rPr>
                <w:color w:val="000000"/>
              </w:rPr>
            </w:pPr>
            <w:r w:rsidRPr="008B51EF">
              <w:rPr>
                <w:color w:val="000000"/>
              </w:rPr>
              <w:t>22%</w:t>
            </w:r>
          </w:p>
        </w:tc>
      </w:tr>
      <w:tr w:rsidR="00381240" w:rsidRPr="00381240" w14:paraId="16B7D67B"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53C1DE8" w14:textId="3047C52E" w:rsidR="00381240" w:rsidRPr="008B51EF" w:rsidRDefault="00381240" w:rsidP="00381240">
            <w:pPr>
              <w:jc w:val="center"/>
              <w:rPr>
                <w:color w:val="000000"/>
              </w:rPr>
            </w:pPr>
            <w:r w:rsidRPr="008B51EF">
              <w:rPr>
                <w:color w:val="000000"/>
              </w:rPr>
              <w:t>2028</w:t>
            </w:r>
          </w:p>
        </w:tc>
        <w:tc>
          <w:tcPr>
            <w:tcW w:w="1320" w:type="dxa"/>
            <w:tcBorders>
              <w:top w:val="nil"/>
              <w:left w:val="nil"/>
              <w:bottom w:val="single" w:sz="4" w:space="0" w:color="auto"/>
              <w:right w:val="single" w:sz="4" w:space="0" w:color="auto"/>
            </w:tcBorders>
            <w:shd w:val="clear" w:color="000000" w:fill="FFFFFF"/>
            <w:noWrap/>
            <w:vAlign w:val="bottom"/>
            <w:hideMark/>
          </w:tcPr>
          <w:p w14:paraId="3E541523" w14:textId="4C643866" w:rsidR="00381240" w:rsidRPr="008B51EF" w:rsidRDefault="00381240" w:rsidP="00381240">
            <w:pPr>
              <w:jc w:val="center"/>
            </w:pPr>
            <w:r>
              <w:rPr>
                <w:color w:val="000000"/>
              </w:rPr>
              <w:t>21,981</w:t>
            </w:r>
          </w:p>
        </w:tc>
        <w:tc>
          <w:tcPr>
            <w:tcW w:w="1260" w:type="dxa"/>
            <w:tcBorders>
              <w:top w:val="nil"/>
              <w:left w:val="nil"/>
              <w:bottom w:val="single" w:sz="4" w:space="0" w:color="auto"/>
              <w:right w:val="single" w:sz="4" w:space="0" w:color="auto"/>
            </w:tcBorders>
            <w:shd w:val="clear" w:color="000000" w:fill="FFFFFF"/>
            <w:noWrap/>
            <w:vAlign w:val="bottom"/>
            <w:hideMark/>
          </w:tcPr>
          <w:p w14:paraId="3ABBC0F9" w14:textId="3BD46DDB" w:rsidR="00381240" w:rsidRPr="008B51EF" w:rsidRDefault="00381240" w:rsidP="00381240">
            <w:pPr>
              <w:jc w:val="center"/>
            </w:pPr>
            <w:r>
              <w:rPr>
                <w:color w:val="000000"/>
              </w:rPr>
              <w:t>16,751</w:t>
            </w:r>
          </w:p>
        </w:tc>
        <w:tc>
          <w:tcPr>
            <w:tcW w:w="1260" w:type="dxa"/>
            <w:tcBorders>
              <w:top w:val="nil"/>
              <w:left w:val="nil"/>
              <w:bottom w:val="single" w:sz="4" w:space="0" w:color="auto"/>
              <w:right w:val="single" w:sz="4" w:space="0" w:color="auto"/>
            </w:tcBorders>
            <w:shd w:val="clear" w:color="000000" w:fill="FFFFFF"/>
            <w:noWrap/>
            <w:vAlign w:val="bottom"/>
            <w:hideMark/>
          </w:tcPr>
          <w:p w14:paraId="4FE6E174" w14:textId="5F874B5D" w:rsidR="00381240" w:rsidRPr="008B51EF" w:rsidRDefault="00381240" w:rsidP="00381240">
            <w:pPr>
              <w:jc w:val="center"/>
            </w:pPr>
            <w:r>
              <w:rPr>
                <w:color w:val="000000"/>
              </w:rPr>
              <w:t>7,446</w:t>
            </w:r>
          </w:p>
        </w:tc>
        <w:tc>
          <w:tcPr>
            <w:tcW w:w="1460" w:type="dxa"/>
            <w:tcBorders>
              <w:top w:val="nil"/>
              <w:left w:val="nil"/>
              <w:bottom w:val="single" w:sz="4" w:space="0" w:color="auto"/>
              <w:right w:val="single" w:sz="4" w:space="0" w:color="auto"/>
            </w:tcBorders>
            <w:shd w:val="clear" w:color="000000" w:fill="FFFFFF"/>
            <w:noWrap/>
            <w:vAlign w:val="bottom"/>
            <w:hideMark/>
          </w:tcPr>
          <w:p w14:paraId="6764068A" w14:textId="646322B3" w:rsidR="00381240" w:rsidRPr="008B51EF" w:rsidRDefault="00381240" w:rsidP="00381240">
            <w:pPr>
              <w:jc w:val="center"/>
            </w:pPr>
            <w:r>
              <w:rPr>
                <w:color w:val="000000"/>
              </w:rPr>
              <w:t>739</w:t>
            </w:r>
          </w:p>
        </w:tc>
        <w:tc>
          <w:tcPr>
            <w:tcW w:w="1360" w:type="dxa"/>
            <w:tcBorders>
              <w:top w:val="nil"/>
              <w:left w:val="nil"/>
              <w:bottom w:val="single" w:sz="4" w:space="0" w:color="auto"/>
              <w:right w:val="single" w:sz="4" w:space="0" w:color="auto"/>
            </w:tcBorders>
            <w:shd w:val="clear" w:color="000000" w:fill="FFFFFF"/>
            <w:noWrap/>
            <w:vAlign w:val="bottom"/>
            <w:hideMark/>
          </w:tcPr>
          <w:p w14:paraId="035BCF74" w14:textId="4A3706CB" w:rsidR="00381240" w:rsidRPr="008B51EF" w:rsidRDefault="00381240" w:rsidP="00381240">
            <w:pPr>
              <w:jc w:val="center"/>
            </w:pPr>
            <w:r>
              <w:rPr>
                <w:color w:val="000000"/>
              </w:rPr>
              <w:t>24,936</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323728" w14:textId="3C0C6473" w:rsidR="00381240" w:rsidRPr="008B51EF" w:rsidRDefault="00381240" w:rsidP="00381240">
            <w:pPr>
              <w:jc w:val="center"/>
              <w:rPr>
                <w:color w:val="FF0000"/>
              </w:rPr>
            </w:pPr>
            <w:r w:rsidRPr="008B51EF">
              <w:rPr>
                <w:color w:val="FF0000"/>
              </w:rPr>
              <w:t xml:space="preserve">1,240 </w:t>
            </w:r>
          </w:p>
        </w:tc>
        <w:tc>
          <w:tcPr>
            <w:tcW w:w="1240" w:type="dxa"/>
            <w:tcBorders>
              <w:top w:val="nil"/>
              <w:left w:val="nil"/>
              <w:bottom w:val="single" w:sz="4" w:space="0" w:color="auto"/>
              <w:right w:val="single" w:sz="4" w:space="0" w:color="auto"/>
            </w:tcBorders>
            <w:shd w:val="clear" w:color="000000" w:fill="FFFFFF"/>
            <w:noWrap/>
            <w:vAlign w:val="bottom"/>
            <w:hideMark/>
          </w:tcPr>
          <w:p w14:paraId="457AE534" w14:textId="42766D4A" w:rsidR="00381240" w:rsidRPr="008B51EF" w:rsidRDefault="00381240" w:rsidP="00381240">
            <w:pPr>
              <w:jc w:val="center"/>
              <w:rPr>
                <w:color w:val="000000"/>
              </w:rPr>
            </w:pPr>
            <w:r w:rsidRPr="008B51EF">
              <w:rPr>
                <w:color w:val="000000"/>
              </w:rPr>
              <w:t>13%</w:t>
            </w:r>
          </w:p>
        </w:tc>
      </w:tr>
      <w:tr w:rsidR="00381240" w:rsidRPr="00381240" w14:paraId="24FFF36F"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5ABF750" w14:textId="544B7DBB" w:rsidR="00381240" w:rsidRPr="008B51EF" w:rsidRDefault="00381240" w:rsidP="00381240">
            <w:pPr>
              <w:jc w:val="center"/>
              <w:rPr>
                <w:color w:val="000000"/>
              </w:rPr>
            </w:pPr>
            <w:r w:rsidRPr="008B51EF">
              <w:rPr>
                <w:color w:val="000000"/>
              </w:rPr>
              <w:t>2029</w:t>
            </w:r>
          </w:p>
        </w:tc>
        <w:tc>
          <w:tcPr>
            <w:tcW w:w="1320" w:type="dxa"/>
            <w:tcBorders>
              <w:top w:val="nil"/>
              <w:left w:val="nil"/>
              <w:bottom w:val="single" w:sz="4" w:space="0" w:color="auto"/>
              <w:right w:val="single" w:sz="4" w:space="0" w:color="auto"/>
            </w:tcBorders>
            <w:shd w:val="clear" w:color="000000" w:fill="FFFFFF"/>
            <w:noWrap/>
            <w:vAlign w:val="bottom"/>
            <w:hideMark/>
          </w:tcPr>
          <w:p w14:paraId="513B8E9B" w14:textId="6F236492" w:rsidR="00381240" w:rsidRPr="008B51EF" w:rsidRDefault="00381240" w:rsidP="00381240">
            <w:pPr>
              <w:jc w:val="center"/>
            </w:pPr>
            <w:r>
              <w:rPr>
                <w:color w:val="000000"/>
              </w:rPr>
              <w:t>24,373</w:t>
            </w:r>
          </w:p>
        </w:tc>
        <w:tc>
          <w:tcPr>
            <w:tcW w:w="1260" w:type="dxa"/>
            <w:tcBorders>
              <w:top w:val="nil"/>
              <w:left w:val="nil"/>
              <w:bottom w:val="single" w:sz="4" w:space="0" w:color="auto"/>
              <w:right w:val="single" w:sz="4" w:space="0" w:color="auto"/>
            </w:tcBorders>
            <w:shd w:val="clear" w:color="000000" w:fill="FFFFFF"/>
            <w:noWrap/>
            <w:vAlign w:val="bottom"/>
            <w:hideMark/>
          </w:tcPr>
          <w:p w14:paraId="74DAA247" w14:textId="3BD6159F" w:rsidR="00381240" w:rsidRPr="008B51EF" w:rsidRDefault="00381240" w:rsidP="00381240">
            <w:pPr>
              <w:jc w:val="center"/>
            </w:pPr>
            <w:r>
              <w:rPr>
                <w:color w:val="000000"/>
              </w:rPr>
              <w:t>16,752</w:t>
            </w:r>
          </w:p>
        </w:tc>
        <w:tc>
          <w:tcPr>
            <w:tcW w:w="1260" w:type="dxa"/>
            <w:tcBorders>
              <w:top w:val="nil"/>
              <w:left w:val="nil"/>
              <w:bottom w:val="single" w:sz="4" w:space="0" w:color="auto"/>
              <w:right w:val="single" w:sz="4" w:space="0" w:color="auto"/>
            </w:tcBorders>
            <w:shd w:val="clear" w:color="000000" w:fill="FFFFFF"/>
            <w:noWrap/>
            <w:vAlign w:val="bottom"/>
            <w:hideMark/>
          </w:tcPr>
          <w:p w14:paraId="0290730F" w14:textId="1F0853D9" w:rsidR="00381240" w:rsidRPr="008B51EF" w:rsidRDefault="00381240" w:rsidP="00381240">
            <w:pPr>
              <w:jc w:val="center"/>
            </w:pPr>
            <w:r>
              <w:rPr>
                <w:color w:val="000000"/>
              </w:rPr>
              <w:t>6,981</w:t>
            </w:r>
          </w:p>
        </w:tc>
        <w:tc>
          <w:tcPr>
            <w:tcW w:w="1460" w:type="dxa"/>
            <w:tcBorders>
              <w:top w:val="nil"/>
              <w:left w:val="nil"/>
              <w:bottom w:val="single" w:sz="4" w:space="0" w:color="auto"/>
              <w:right w:val="single" w:sz="4" w:space="0" w:color="auto"/>
            </w:tcBorders>
            <w:shd w:val="clear" w:color="000000" w:fill="FFFFFF"/>
            <w:noWrap/>
            <w:vAlign w:val="bottom"/>
            <w:hideMark/>
          </w:tcPr>
          <w:p w14:paraId="7A9AC443" w14:textId="1D857291" w:rsidR="00381240" w:rsidRPr="008B51EF" w:rsidRDefault="00381240" w:rsidP="00381240">
            <w:pPr>
              <w:jc w:val="center"/>
            </w:pPr>
            <w:r>
              <w:rPr>
                <w:color w:val="000000"/>
              </w:rPr>
              <w:t>742</w:t>
            </w:r>
          </w:p>
        </w:tc>
        <w:tc>
          <w:tcPr>
            <w:tcW w:w="1360" w:type="dxa"/>
            <w:tcBorders>
              <w:top w:val="nil"/>
              <w:left w:val="nil"/>
              <w:bottom w:val="single" w:sz="4" w:space="0" w:color="auto"/>
              <w:right w:val="single" w:sz="4" w:space="0" w:color="auto"/>
            </w:tcBorders>
            <w:shd w:val="clear" w:color="000000" w:fill="FFFFFF"/>
            <w:noWrap/>
            <w:vAlign w:val="bottom"/>
            <w:hideMark/>
          </w:tcPr>
          <w:p w14:paraId="1E6838ED" w14:textId="2388EA23" w:rsidR="00381240" w:rsidRPr="008B51EF" w:rsidRDefault="00381240" w:rsidP="00381240">
            <w:pPr>
              <w:jc w:val="center"/>
            </w:pPr>
            <w:r>
              <w:rPr>
                <w:color w:val="000000"/>
              </w:rPr>
              <w:t>24,475</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5CACF3" w14:textId="568B02CD" w:rsidR="00381240" w:rsidRPr="008B51EF" w:rsidRDefault="00381240" w:rsidP="00381240">
            <w:pPr>
              <w:jc w:val="center"/>
              <w:rPr>
                <w:color w:val="FF0000"/>
              </w:rPr>
            </w:pPr>
            <w:r w:rsidRPr="008B51EF">
              <w:rPr>
                <w:color w:val="FF0000"/>
              </w:rPr>
              <w:t xml:space="preserve">4,550 </w:t>
            </w:r>
          </w:p>
        </w:tc>
        <w:tc>
          <w:tcPr>
            <w:tcW w:w="1240" w:type="dxa"/>
            <w:tcBorders>
              <w:top w:val="nil"/>
              <w:left w:val="nil"/>
              <w:bottom w:val="single" w:sz="4" w:space="0" w:color="auto"/>
              <w:right w:val="single" w:sz="4" w:space="0" w:color="auto"/>
            </w:tcBorders>
            <w:shd w:val="clear" w:color="000000" w:fill="FFFFFF"/>
            <w:noWrap/>
            <w:vAlign w:val="bottom"/>
            <w:hideMark/>
          </w:tcPr>
          <w:p w14:paraId="41639961" w14:textId="2DF75441" w:rsidR="00381240" w:rsidRPr="008B51EF" w:rsidRDefault="00381240" w:rsidP="00381240">
            <w:pPr>
              <w:jc w:val="center"/>
              <w:rPr>
                <w:color w:val="000000"/>
              </w:rPr>
            </w:pPr>
            <w:r w:rsidRPr="008B51EF">
              <w:rPr>
                <w:color w:val="000000"/>
              </w:rPr>
              <w:t>0%</w:t>
            </w:r>
          </w:p>
        </w:tc>
      </w:tr>
      <w:tr w:rsidR="002649D8" w:rsidRPr="00381240" w14:paraId="3706D10B"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A2AB0F6" w14:textId="04681D08" w:rsidR="002649D8" w:rsidRPr="008B51EF" w:rsidRDefault="002649D8" w:rsidP="002649D8">
            <w:pPr>
              <w:jc w:val="center"/>
              <w:rPr>
                <w:color w:val="000000"/>
              </w:rPr>
            </w:pPr>
            <w:r w:rsidRPr="008B51EF">
              <w:rPr>
                <w:color w:val="000000"/>
              </w:rPr>
              <w:t>2030</w:t>
            </w:r>
          </w:p>
        </w:tc>
        <w:tc>
          <w:tcPr>
            <w:tcW w:w="1320" w:type="dxa"/>
            <w:tcBorders>
              <w:top w:val="nil"/>
              <w:left w:val="nil"/>
              <w:bottom w:val="single" w:sz="4" w:space="0" w:color="auto"/>
              <w:right w:val="single" w:sz="4" w:space="0" w:color="auto"/>
            </w:tcBorders>
            <w:shd w:val="clear" w:color="000000" w:fill="FFFFFF"/>
            <w:noWrap/>
            <w:vAlign w:val="bottom"/>
            <w:hideMark/>
          </w:tcPr>
          <w:p w14:paraId="22D3735C" w14:textId="292E6019" w:rsidR="002649D8" w:rsidRPr="008B51EF" w:rsidRDefault="002649D8" w:rsidP="002649D8">
            <w:pPr>
              <w:jc w:val="center"/>
            </w:pPr>
            <w:r>
              <w:rPr>
                <w:color w:val="000000"/>
              </w:rPr>
              <w:t>25,934</w:t>
            </w:r>
          </w:p>
        </w:tc>
        <w:tc>
          <w:tcPr>
            <w:tcW w:w="1260" w:type="dxa"/>
            <w:tcBorders>
              <w:top w:val="nil"/>
              <w:left w:val="nil"/>
              <w:bottom w:val="single" w:sz="4" w:space="0" w:color="auto"/>
              <w:right w:val="single" w:sz="4" w:space="0" w:color="auto"/>
            </w:tcBorders>
            <w:shd w:val="clear" w:color="000000" w:fill="FFFFFF"/>
            <w:noWrap/>
            <w:vAlign w:val="bottom"/>
            <w:hideMark/>
          </w:tcPr>
          <w:p w14:paraId="24FD476C" w14:textId="73296EA7" w:rsidR="002649D8" w:rsidRPr="008B51EF" w:rsidRDefault="002649D8" w:rsidP="002649D8">
            <w:pPr>
              <w:jc w:val="center"/>
            </w:pPr>
            <w:r>
              <w:rPr>
                <w:color w:val="000000"/>
              </w:rPr>
              <w:t>16,758</w:t>
            </w:r>
          </w:p>
        </w:tc>
        <w:tc>
          <w:tcPr>
            <w:tcW w:w="1260" w:type="dxa"/>
            <w:tcBorders>
              <w:top w:val="nil"/>
              <w:left w:val="nil"/>
              <w:bottom w:val="single" w:sz="4" w:space="0" w:color="auto"/>
              <w:right w:val="single" w:sz="4" w:space="0" w:color="auto"/>
            </w:tcBorders>
            <w:shd w:val="clear" w:color="000000" w:fill="FFFFFF"/>
            <w:noWrap/>
            <w:vAlign w:val="bottom"/>
            <w:hideMark/>
          </w:tcPr>
          <w:p w14:paraId="23A9BA26" w14:textId="1786F920" w:rsidR="002649D8" w:rsidRPr="008B51EF" w:rsidRDefault="00385184" w:rsidP="002649D8">
            <w:pPr>
              <w:jc w:val="center"/>
            </w:pPr>
            <w:r>
              <w:rPr>
                <w:color w:val="000000"/>
              </w:rPr>
              <w:t>5,322</w:t>
            </w:r>
          </w:p>
        </w:tc>
        <w:tc>
          <w:tcPr>
            <w:tcW w:w="1460" w:type="dxa"/>
            <w:tcBorders>
              <w:top w:val="nil"/>
              <w:left w:val="nil"/>
              <w:bottom w:val="single" w:sz="4" w:space="0" w:color="auto"/>
              <w:right w:val="single" w:sz="4" w:space="0" w:color="auto"/>
            </w:tcBorders>
            <w:shd w:val="clear" w:color="000000" w:fill="FFFFFF"/>
            <w:noWrap/>
            <w:vAlign w:val="bottom"/>
            <w:hideMark/>
          </w:tcPr>
          <w:p w14:paraId="41571B52" w14:textId="30100F3A" w:rsidR="002649D8" w:rsidRPr="008B51EF" w:rsidRDefault="002649D8" w:rsidP="002649D8">
            <w:pPr>
              <w:jc w:val="center"/>
            </w:pPr>
            <w:r w:rsidDel="000214FE">
              <w:rPr>
                <w:color w:val="000000"/>
              </w:rPr>
              <w:t>746</w:t>
            </w:r>
          </w:p>
        </w:tc>
        <w:tc>
          <w:tcPr>
            <w:tcW w:w="1360" w:type="dxa"/>
            <w:tcBorders>
              <w:top w:val="nil"/>
              <w:left w:val="nil"/>
              <w:bottom w:val="single" w:sz="4" w:space="0" w:color="auto"/>
              <w:right w:val="single" w:sz="4" w:space="0" w:color="auto"/>
            </w:tcBorders>
            <w:shd w:val="clear" w:color="000000" w:fill="FFFFFF"/>
            <w:noWrap/>
            <w:vAlign w:val="bottom"/>
            <w:hideMark/>
          </w:tcPr>
          <w:p w14:paraId="45BFF89F" w14:textId="7324EC4C" w:rsidR="002649D8" w:rsidRPr="008B51EF" w:rsidRDefault="00385184" w:rsidP="002649D8">
            <w:pPr>
              <w:jc w:val="center"/>
            </w:pPr>
            <w:r>
              <w:rPr>
                <w:color w:val="000000"/>
              </w:rPr>
              <w:t>22,825</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1D1D0" w14:textId="6A8A23B5" w:rsidR="002649D8" w:rsidRPr="008B51EF" w:rsidRDefault="002649D8" w:rsidP="002649D8">
            <w:pPr>
              <w:jc w:val="center"/>
              <w:rPr>
                <w:color w:val="FF0000"/>
              </w:rPr>
            </w:pPr>
            <w:r>
              <w:rPr>
                <w:color w:val="FF0000"/>
              </w:rPr>
              <w:t xml:space="preserve">8,059 </w:t>
            </w:r>
          </w:p>
        </w:tc>
        <w:tc>
          <w:tcPr>
            <w:tcW w:w="1240" w:type="dxa"/>
            <w:tcBorders>
              <w:top w:val="nil"/>
              <w:left w:val="nil"/>
              <w:bottom w:val="single" w:sz="4" w:space="0" w:color="auto"/>
              <w:right w:val="single" w:sz="4" w:space="0" w:color="auto"/>
            </w:tcBorders>
            <w:shd w:val="clear" w:color="000000" w:fill="FFFFFF"/>
            <w:noWrap/>
            <w:vAlign w:val="bottom"/>
            <w:hideMark/>
          </w:tcPr>
          <w:p w14:paraId="70CB0189" w14:textId="28447960" w:rsidR="002649D8" w:rsidRPr="008B51EF" w:rsidRDefault="002649D8" w:rsidP="002649D8">
            <w:pPr>
              <w:jc w:val="center"/>
              <w:rPr>
                <w:color w:val="000000"/>
              </w:rPr>
            </w:pPr>
            <w:r>
              <w:rPr>
                <w:color w:val="000000"/>
              </w:rPr>
              <w:t>-12</w:t>
            </w:r>
            <w:r w:rsidRPr="008B51EF" w:rsidDel="000214FE">
              <w:rPr>
                <w:color w:val="000000"/>
              </w:rPr>
              <w:t>%</w:t>
            </w:r>
          </w:p>
        </w:tc>
      </w:tr>
      <w:tr w:rsidR="002649D8" w:rsidRPr="00381240" w14:paraId="7CE04977"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B8E589B" w14:textId="65F10F18" w:rsidR="002649D8" w:rsidRPr="008B51EF" w:rsidRDefault="002649D8" w:rsidP="002649D8">
            <w:pPr>
              <w:jc w:val="center"/>
              <w:rPr>
                <w:color w:val="000000"/>
              </w:rPr>
            </w:pPr>
            <w:r w:rsidRPr="008B51EF">
              <w:rPr>
                <w:color w:val="000000"/>
              </w:rPr>
              <w:t>2031</w:t>
            </w:r>
          </w:p>
        </w:tc>
        <w:tc>
          <w:tcPr>
            <w:tcW w:w="1320" w:type="dxa"/>
            <w:tcBorders>
              <w:top w:val="nil"/>
              <w:left w:val="nil"/>
              <w:bottom w:val="single" w:sz="4" w:space="0" w:color="auto"/>
              <w:right w:val="single" w:sz="4" w:space="0" w:color="auto"/>
            </w:tcBorders>
            <w:shd w:val="clear" w:color="000000" w:fill="FFFFFF"/>
            <w:noWrap/>
            <w:vAlign w:val="bottom"/>
            <w:hideMark/>
          </w:tcPr>
          <w:p w14:paraId="3EEA0255" w14:textId="6BDD06E6" w:rsidR="002649D8" w:rsidRPr="008B51EF" w:rsidRDefault="002649D8" w:rsidP="002649D8">
            <w:pPr>
              <w:jc w:val="center"/>
            </w:pPr>
            <w:r>
              <w:rPr>
                <w:color w:val="000000"/>
              </w:rPr>
              <w:t>27,081</w:t>
            </w:r>
          </w:p>
        </w:tc>
        <w:tc>
          <w:tcPr>
            <w:tcW w:w="1260" w:type="dxa"/>
            <w:tcBorders>
              <w:top w:val="nil"/>
              <w:left w:val="nil"/>
              <w:bottom w:val="single" w:sz="4" w:space="0" w:color="auto"/>
              <w:right w:val="single" w:sz="4" w:space="0" w:color="auto"/>
            </w:tcBorders>
            <w:shd w:val="clear" w:color="000000" w:fill="FFFFFF"/>
            <w:noWrap/>
            <w:vAlign w:val="bottom"/>
            <w:hideMark/>
          </w:tcPr>
          <w:p w14:paraId="3268506B" w14:textId="195E9713" w:rsidR="002649D8" w:rsidRPr="008B51EF" w:rsidRDefault="002649D8" w:rsidP="002649D8">
            <w:pPr>
              <w:jc w:val="center"/>
            </w:pPr>
            <w:r>
              <w:rPr>
                <w:color w:val="000000"/>
              </w:rPr>
              <w:t>16,678</w:t>
            </w:r>
          </w:p>
        </w:tc>
        <w:tc>
          <w:tcPr>
            <w:tcW w:w="1260" w:type="dxa"/>
            <w:tcBorders>
              <w:top w:val="nil"/>
              <w:left w:val="nil"/>
              <w:bottom w:val="single" w:sz="4" w:space="0" w:color="auto"/>
              <w:right w:val="single" w:sz="4" w:space="0" w:color="auto"/>
            </w:tcBorders>
            <w:shd w:val="clear" w:color="000000" w:fill="FFFFFF"/>
            <w:noWrap/>
            <w:vAlign w:val="bottom"/>
            <w:hideMark/>
          </w:tcPr>
          <w:p w14:paraId="66E1F508" w14:textId="5CD66E92" w:rsidR="002649D8" w:rsidRPr="008B51EF" w:rsidRDefault="00385184" w:rsidP="002649D8">
            <w:pPr>
              <w:jc w:val="center"/>
            </w:pPr>
            <w:r>
              <w:rPr>
                <w:color w:val="000000"/>
              </w:rPr>
              <w:t>5,535</w:t>
            </w:r>
          </w:p>
        </w:tc>
        <w:tc>
          <w:tcPr>
            <w:tcW w:w="1460" w:type="dxa"/>
            <w:tcBorders>
              <w:top w:val="nil"/>
              <w:left w:val="nil"/>
              <w:bottom w:val="single" w:sz="4" w:space="0" w:color="auto"/>
              <w:right w:val="single" w:sz="4" w:space="0" w:color="auto"/>
            </w:tcBorders>
            <w:shd w:val="clear" w:color="000000" w:fill="FFFFFF"/>
            <w:noWrap/>
            <w:vAlign w:val="bottom"/>
            <w:hideMark/>
          </w:tcPr>
          <w:p w14:paraId="05821DC9" w14:textId="295CB97F" w:rsidR="002649D8" w:rsidRPr="008B51EF" w:rsidRDefault="002649D8" w:rsidP="002649D8">
            <w:pPr>
              <w:jc w:val="center"/>
            </w:pPr>
            <w:r w:rsidDel="000214FE">
              <w:rPr>
                <w:color w:val="000000"/>
              </w:rPr>
              <w:t>751</w:t>
            </w:r>
          </w:p>
        </w:tc>
        <w:tc>
          <w:tcPr>
            <w:tcW w:w="1360" w:type="dxa"/>
            <w:tcBorders>
              <w:top w:val="nil"/>
              <w:left w:val="nil"/>
              <w:bottom w:val="single" w:sz="4" w:space="0" w:color="auto"/>
              <w:right w:val="single" w:sz="4" w:space="0" w:color="auto"/>
            </w:tcBorders>
            <w:shd w:val="clear" w:color="000000" w:fill="FFFFFF"/>
            <w:noWrap/>
            <w:vAlign w:val="bottom"/>
            <w:hideMark/>
          </w:tcPr>
          <w:p w14:paraId="6BBD4E61" w14:textId="65450A89" w:rsidR="002649D8" w:rsidRPr="008B51EF" w:rsidRDefault="00385184" w:rsidP="002649D8">
            <w:pPr>
              <w:jc w:val="center"/>
            </w:pPr>
            <w:r>
              <w:rPr>
                <w:color w:val="000000"/>
              </w:rPr>
              <w:t>22,965</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4DF70" w14:textId="24B21BF6" w:rsidR="002649D8" w:rsidRPr="008B51EF" w:rsidRDefault="002649D8" w:rsidP="002649D8">
            <w:pPr>
              <w:jc w:val="center"/>
              <w:rPr>
                <w:color w:val="FF0000"/>
              </w:rPr>
            </w:pPr>
            <w:r>
              <w:rPr>
                <w:color w:val="FF0000"/>
              </w:rPr>
              <w:t xml:space="preserve">9,285 </w:t>
            </w:r>
          </w:p>
        </w:tc>
        <w:tc>
          <w:tcPr>
            <w:tcW w:w="1240" w:type="dxa"/>
            <w:tcBorders>
              <w:top w:val="nil"/>
              <w:left w:val="nil"/>
              <w:bottom w:val="single" w:sz="4" w:space="0" w:color="auto"/>
              <w:right w:val="single" w:sz="4" w:space="0" w:color="auto"/>
            </w:tcBorders>
            <w:shd w:val="clear" w:color="000000" w:fill="FFFFFF"/>
            <w:noWrap/>
            <w:vAlign w:val="bottom"/>
            <w:hideMark/>
          </w:tcPr>
          <w:p w14:paraId="16ACC3CD" w14:textId="5FE77F50" w:rsidR="002649D8" w:rsidRPr="008B51EF" w:rsidRDefault="002649D8" w:rsidP="002649D8">
            <w:pPr>
              <w:jc w:val="center"/>
              <w:rPr>
                <w:color w:val="000000"/>
              </w:rPr>
            </w:pPr>
            <w:r w:rsidRPr="008B51EF" w:rsidDel="000214FE">
              <w:rPr>
                <w:color w:val="000000"/>
              </w:rPr>
              <w:t>-15%</w:t>
            </w:r>
          </w:p>
        </w:tc>
      </w:tr>
      <w:tr w:rsidR="002649D8" w:rsidRPr="00381240" w14:paraId="6A18E180"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36F4AB3" w14:textId="4F0BFCD3" w:rsidR="002649D8" w:rsidRPr="008B51EF" w:rsidRDefault="002649D8" w:rsidP="002649D8">
            <w:pPr>
              <w:jc w:val="center"/>
              <w:rPr>
                <w:color w:val="000000"/>
              </w:rPr>
            </w:pPr>
            <w:r w:rsidRPr="008B51EF">
              <w:rPr>
                <w:color w:val="000000"/>
              </w:rPr>
              <w:t>2032</w:t>
            </w:r>
          </w:p>
        </w:tc>
        <w:tc>
          <w:tcPr>
            <w:tcW w:w="1320" w:type="dxa"/>
            <w:tcBorders>
              <w:top w:val="nil"/>
              <w:left w:val="nil"/>
              <w:bottom w:val="single" w:sz="4" w:space="0" w:color="auto"/>
              <w:right w:val="single" w:sz="4" w:space="0" w:color="auto"/>
            </w:tcBorders>
            <w:shd w:val="clear" w:color="000000" w:fill="FFFFFF"/>
            <w:noWrap/>
            <w:vAlign w:val="bottom"/>
            <w:hideMark/>
          </w:tcPr>
          <w:p w14:paraId="1F91813B" w14:textId="19EEFF8C" w:rsidR="002649D8" w:rsidRPr="008B51EF" w:rsidRDefault="002649D8" w:rsidP="002649D8">
            <w:pPr>
              <w:jc w:val="center"/>
            </w:pPr>
            <w:r>
              <w:rPr>
                <w:color w:val="000000"/>
              </w:rPr>
              <w:t>27,789</w:t>
            </w:r>
          </w:p>
        </w:tc>
        <w:tc>
          <w:tcPr>
            <w:tcW w:w="1260" w:type="dxa"/>
            <w:tcBorders>
              <w:top w:val="nil"/>
              <w:left w:val="nil"/>
              <w:bottom w:val="single" w:sz="4" w:space="0" w:color="auto"/>
              <w:right w:val="single" w:sz="4" w:space="0" w:color="auto"/>
            </w:tcBorders>
            <w:shd w:val="clear" w:color="000000" w:fill="FFFFFF"/>
            <w:noWrap/>
            <w:vAlign w:val="bottom"/>
            <w:hideMark/>
          </w:tcPr>
          <w:p w14:paraId="2C1783DC" w14:textId="00CE6FFC" w:rsidR="002649D8" w:rsidRPr="008B51EF" w:rsidRDefault="002649D8" w:rsidP="002649D8">
            <w:pPr>
              <w:jc w:val="center"/>
            </w:pPr>
            <w:r>
              <w:rPr>
                <w:color w:val="000000"/>
              </w:rPr>
              <w:t>16,678</w:t>
            </w:r>
          </w:p>
        </w:tc>
        <w:tc>
          <w:tcPr>
            <w:tcW w:w="1260" w:type="dxa"/>
            <w:tcBorders>
              <w:top w:val="nil"/>
              <w:left w:val="nil"/>
              <w:bottom w:val="single" w:sz="4" w:space="0" w:color="auto"/>
              <w:right w:val="single" w:sz="4" w:space="0" w:color="auto"/>
            </w:tcBorders>
            <w:shd w:val="clear" w:color="000000" w:fill="FFFFFF"/>
            <w:noWrap/>
            <w:vAlign w:val="bottom"/>
            <w:hideMark/>
          </w:tcPr>
          <w:p w14:paraId="1D2A5715" w14:textId="0AAACD06" w:rsidR="002649D8" w:rsidRPr="008B51EF" w:rsidRDefault="00385184" w:rsidP="002649D8">
            <w:pPr>
              <w:jc w:val="center"/>
            </w:pPr>
            <w:r>
              <w:rPr>
                <w:color w:val="000000"/>
              </w:rPr>
              <w:t>5,535</w:t>
            </w:r>
          </w:p>
        </w:tc>
        <w:tc>
          <w:tcPr>
            <w:tcW w:w="1460" w:type="dxa"/>
            <w:tcBorders>
              <w:top w:val="nil"/>
              <w:left w:val="nil"/>
              <w:bottom w:val="single" w:sz="4" w:space="0" w:color="auto"/>
              <w:right w:val="single" w:sz="4" w:space="0" w:color="auto"/>
            </w:tcBorders>
            <w:shd w:val="clear" w:color="000000" w:fill="FFFFFF"/>
            <w:noWrap/>
            <w:vAlign w:val="bottom"/>
            <w:hideMark/>
          </w:tcPr>
          <w:p w14:paraId="7C5B7107" w14:textId="558814AE" w:rsidR="002649D8" w:rsidRPr="008B51EF" w:rsidRDefault="002649D8" w:rsidP="002649D8">
            <w:pPr>
              <w:jc w:val="center"/>
            </w:pPr>
            <w:r w:rsidDel="000214FE">
              <w:rPr>
                <w:color w:val="000000"/>
              </w:rPr>
              <w:t>754</w:t>
            </w:r>
          </w:p>
        </w:tc>
        <w:tc>
          <w:tcPr>
            <w:tcW w:w="1360" w:type="dxa"/>
            <w:tcBorders>
              <w:top w:val="nil"/>
              <w:left w:val="nil"/>
              <w:bottom w:val="single" w:sz="4" w:space="0" w:color="auto"/>
              <w:right w:val="single" w:sz="4" w:space="0" w:color="auto"/>
            </w:tcBorders>
            <w:shd w:val="clear" w:color="000000" w:fill="FFFFFF"/>
            <w:noWrap/>
            <w:vAlign w:val="bottom"/>
            <w:hideMark/>
          </w:tcPr>
          <w:p w14:paraId="5B0C26C8" w14:textId="608E30B6" w:rsidR="002649D8" w:rsidRPr="008B51EF" w:rsidRDefault="00385184" w:rsidP="002649D8">
            <w:pPr>
              <w:jc w:val="center"/>
            </w:pPr>
            <w:r>
              <w:rPr>
                <w:color w:val="000000"/>
              </w:rPr>
              <w:t>22,968</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38AFA1" w14:textId="49EFA203" w:rsidR="002649D8" w:rsidRPr="008B51EF" w:rsidRDefault="002649D8" w:rsidP="002649D8">
            <w:pPr>
              <w:jc w:val="center"/>
              <w:rPr>
                <w:color w:val="FF0000"/>
              </w:rPr>
            </w:pPr>
            <w:r>
              <w:rPr>
                <w:color w:val="FF0000"/>
              </w:rPr>
              <w:t xml:space="preserve">10,125 </w:t>
            </w:r>
          </w:p>
        </w:tc>
        <w:tc>
          <w:tcPr>
            <w:tcW w:w="1240" w:type="dxa"/>
            <w:tcBorders>
              <w:top w:val="nil"/>
              <w:left w:val="nil"/>
              <w:bottom w:val="single" w:sz="4" w:space="0" w:color="auto"/>
              <w:right w:val="single" w:sz="4" w:space="0" w:color="auto"/>
            </w:tcBorders>
            <w:shd w:val="clear" w:color="000000" w:fill="FFFFFF"/>
            <w:noWrap/>
            <w:vAlign w:val="bottom"/>
            <w:hideMark/>
          </w:tcPr>
          <w:p w14:paraId="25B69FB0" w14:textId="09273C83" w:rsidR="002649D8" w:rsidRPr="008B51EF" w:rsidRDefault="002649D8" w:rsidP="002649D8">
            <w:pPr>
              <w:jc w:val="center"/>
              <w:rPr>
                <w:color w:val="000000"/>
              </w:rPr>
            </w:pPr>
            <w:r w:rsidRPr="008B51EF" w:rsidDel="000214FE">
              <w:rPr>
                <w:color w:val="000000"/>
              </w:rPr>
              <w:t>-17%</w:t>
            </w:r>
          </w:p>
        </w:tc>
      </w:tr>
      <w:tr w:rsidR="002649D8" w:rsidRPr="00381240" w14:paraId="16AE2CCC"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78FDF0A" w14:textId="414924E3" w:rsidR="002649D8" w:rsidRPr="008B51EF" w:rsidRDefault="002649D8" w:rsidP="002649D8">
            <w:pPr>
              <w:jc w:val="center"/>
              <w:rPr>
                <w:color w:val="000000"/>
              </w:rPr>
            </w:pPr>
            <w:r w:rsidRPr="008B51EF">
              <w:rPr>
                <w:color w:val="000000"/>
              </w:rPr>
              <w:t>2033</w:t>
            </w:r>
          </w:p>
        </w:tc>
        <w:tc>
          <w:tcPr>
            <w:tcW w:w="1320" w:type="dxa"/>
            <w:tcBorders>
              <w:top w:val="nil"/>
              <w:left w:val="nil"/>
              <w:bottom w:val="single" w:sz="4" w:space="0" w:color="auto"/>
              <w:right w:val="single" w:sz="4" w:space="0" w:color="auto"/>
            </w:tcBorders>
            <w:shd w:val="clear" w:color="000000" w:fill="FFFFFF"/>
            <w:noWrap/>
            <w:vAlign w:val="bottom"/>
            <w:hideMark/>
          </w:tcPr>
          <w:p w14:paraId="456C5FEB" w14:textId="2E18F441" w:rsidR="002649D8" w:rsidRPr="008B51EF" w:rsidRDefault="002649D8" w:rsidP="002649D8">
            <w:pPr>
              <w:jc w:val="center"/>
            </w:pPr>
            <w:r>
              <w:rPr>
                <w:color w:val="000000"/>
              </w:rPr>
              <w:t>28,289</w:t>
            </w:r>
          </w:p>
        </w:tc>
        <w:tc>
          <w:tcPr>
            <w:tcW w:w="1260" w:type="dxa"/>
            <w:tcBorders>
              <w:top w:val="nil"/>
              <w:left w:val="nil"/>
              <w:bottom w:val="single" w:sz="4" w:space="0" w:color="auto"/>
              <w:right w:val="single" w:sz="4" w:space="0" w:color="auto"/>
            </w:tcBorders>
            <w:shd w:val="clear" w:color="000000" w:fill="FFFFFF"/>
            <w:noWrap/>
            <w:vAlign w:val="bottom"/>
            <w:hideMark/>
          </w:tcPr>
          <w:p w14:paraId="69A899AD" w14:textId="0E5F28A6" w:rsidR="002649D8" w:rsidRPr="008B51EF" w:rsidRDefault="002649D8" w:rsidP="002649D8">
            <w:pPr>
              <w:jc w:val="center"/>
            </w:pPr>
            <w:r>
              <w:rPr>
                <w:color w:val="000000"/>
              </w:rPr>
              <w:t>16,678</w:t>
            </w:r>
          </w:p>
        </w:tc>
        <w:tc>
          <w:tcPr>
            <w:tcW w:w="1260" w:type="dxa"/>
            <w:tcBorders>
              <w:top w:val="nil"/>
              <w:left w:val="nil"/>
              <w:bottom w:val="single" w:sz="4" w:space="0" w:color="auto"/>
              <w:right w:val="single" w:sz="4" w:space="0" w:color="auto"/>
            </w:tcBorders>
            <w:shd w:val="clear" w:color="000000" w:fill="FFFFFF"/>
            <w:noWrap/>
            <w:vAlign w:val="bottom"/>
            <w:hideMark/>
          </w:tcPr>
          <w:p w14:paraId="041C83DA" w14:textId="73A72345" w:rsidR="002649D8" w:rsidRPr="008B51EF" w:rsidRDefault="00385184" w:rsidP="002649D8">
            <w:pPr>
              <w:jc w:val="center"/>
            </w:pPr>
            <w:r>
              <w:rPr>
                <w:color w:val="000000"/>
              </w:rPr>
              <w:t>5,480</w:t>
            </w:r>
          </w:p>
        </w:tc>
        <w:tc>
          <w:tcPr>
            <w:tcW w:w="1460" w:type="dxa"/>
            <w:tcBorders>
              <w:top w:val="nil"/>
              <w:left w:val="nil"/>
              <w:bottom w:val="single" w:sz="4" w:space="0" w:color="auto"/>
              <w:right w:val="single" w:sz="4" w:space="0" w:color="auto"/>
            </w:tcBorders>
            <w:shd w:val="clear" w:color="000000" w:fill="FFFFFF"/>
            <w:noWrap/>
            <w:vAlign w:val="bottom"/>
            <w:hideMark/>
          </w:tcPr>
          <w:p w14:paraId="54FAFB4A" w14:textId="6E010C65" w:rsidR="002649D8" w:rsidRPr="008B51EF" w:rsidRDefault="002649D8" w:rsidP="002649D8">
            <w:pPr>
              <w:jc w:val="center"/>
            </w:pPr>
            <w:r w:rsidDel="000214FE">
              <w:rPr>
                <w:color w:val="000000"/>
              </w:rPr>
              <w:t>759</w:t>
            </w:r>
          </w:p>
        </w:tc>
        <w:tc>
          <w:tcPr>
            <w:tcW w:w="1360" w:type="dxa"/>
            <w:tcBorders>
              <w:top w:val="nil"/>
              <w:left w:val="nil"/>
              <w:bottom w:val="single" w:sz="4" w:space="0" w:color="auto"/>
              <w:right w:val="single" w:sz="4" w:space="0" w:color="auto"/>
            </w:tcBorders>
            <w:shd w:val="clear" w:color="000000" w:fill="FFFFFF"/>
            <w:noWrap/>
            <w:vAlign w:val="bottom"/>
            <w:hideMark/>
          </w:tcPr>
          <w:p w14:paraId="3B872F75" w14:textId="3945621F" w:rsidR="002649D8" w:rsidRPr="008B51EF" w:rsidRDefault="00385184" w:rsidP="002649D8">
            <w:pPr>
              <w:jc w:val="center"/>
            </w:pPr>
            <w:r>
              <w:rPr>
                <w:color w:val="000000"/>
              </w:rPr>
              <w:t>22,916</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472B8" w14:textId="35D21A9A" w:rsidR="002649D8" w:rsidRPr="008B51EF" w:rsidRDefault="002649D8" w:rsidP="002649D8">
            <w:pPr>
              <w:jc w:val="center"/>
              <w:rPr>
                <w:color w:val="FF0000"/>
              </w:rPr>
            </w:pPr>
            <w:r>
              <w:rPr>
                <w:color w:val="FF0000"/>
              </w:rPr>
              <w:t xml:space="preserve">10,772 </w:t>
            </w:r>
          </w:p>
        </w:tc>
        <w:tc>
          <w:tcPr>
            <w:tcW w:w="1240" w:type="dxa"/>
            <w:tcBorders>
              <w:top w:val="nil"/>
              <w:left w:val="nil"/>
              <w:bottom w:val="single" w:sz="4" w:space="0" w:color="auto"/>
              <w:right w:val="single" w:sz="4" w:space="0" w:color="auto"/>
            </w:tcBorders>
            <w:shd w:val="clear" w:color="000000" w:fill="FFFFFF"/>
            <w:noWrap/>
            <w:vAlign w:val="bottom"/>
            <w:hideMark/>
          </w:tcPr>
          <w:p w14:paraId="1321E72C" w14:textId="0E38BA1B" w:rsidR="002649D8" w:rsidRPr="008B51EF" w:rsidRDefault="002649D8" w:rsidP="002649D8">
            <w:pPr>
              <w:jc w:val="center"/>
              <w:rPr>
                <w:color w:val="000000"/>
              </w:rPr>
            </w:pPr>
            <w:r>
              <w:rPr>
                <w:color w:val="000000"/>
              </w:rPr>
              <w:t>-19</w:t>
            </w:r>
            <w:r w:rsidRPr="008B51EF" w:rsidDel="000214FE">
              <w:rPr>
                <w:color w:val="000000"/>
              </w:rPr>
              <w:t>%</w:t>
            </w:r>
          </w:p>
        </w:tc>
      </w:tr>
      <w:tr w:rsidR="002649D8" w:rsidRPr="00381240" w14:paraId="18A1432C"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2F94F39" w14:textId="31484D2A" w:rsidR="002649D8" w:rsidRPr="008B51EF" w:rsidRDefault="002649D8" w:rsidP="002649D8">
            <w:pPr>
              <w:jc w:val="center"/>
              <w:rPr>
                <w:color w:val="000000"/>
              </w:rPr>
            </w:pPr>
            <w:r w:rsidRPr="008B51EF">
              <w:rPr>
                <w:color w:val="000000"/>
              </w:rPr>
              <w:t>2034</w:t>
            </w:r>
          </w:p>
        </w:tc>
        <w:tc>
          <w:tcPr>
            <w:tcW w:w="1320" w:type="dxa"/>
            <w:tcBorders>
              <w:top w:val="nil"/>
              <w:left w:val="nil"/>
              <w:bottom w:val="single" w:sz="4" w:space="0" w:color="auto"/>
              <w:right w:val="single" w:sz="4" w:space="0" w:color="auto"/>
            </w:tcBorders>
            <w:shd w:val="clear" w:color="000000" w:fill="FFFFFF"/>
            <w:noWrap/>
            <w:vAlign w:val="bottom"/>
            <w:hideMark/>
          </w:tcPr>
          <w:p w14:paraId="216111A1" w14:textId="3DC5164E" w:rsidR="002649D8" w:rsidRPr="008B51EF" w:rsidRDefault="002649D8" w:rsidP="002649D8">
            <w:pPr>
              <w:jc w:val="center"/>
            </w:pPr>
            <w:r>
              <w:rPr>
                <w:color w:val="000000"/>
              </w:rPr>
              <w:t>28,588</w:t>
            </w:r>
          </w:p>
        </w:tc>
        <w:tc>
          <w:tcPr>
            <w:tcW w:w="1260" w:type="dxa"/>
            <w:tcBorders>
              <w:top w:val="nil"/>
              <w:left w:val="nil"/>
              <w:bottom w:val="single" w:sz="4" w:space="0" w:color="auto"/>
              <w:right w:val="single" w:sz="4" w:space="0" w:color="auto"/>
            </w:tcBorders>
            <w:shd w:val="clear" w:color="000000" w:fill="FFFFFF"/>
            <w:noWrap/>
            <w:vAlign w:val="bottom"/>
            <w:hideMark/>
          </w:tcPr>
          <w:p w14:paraId="23EE11C0" w14:textId="4CF58434" w:rsidR="002649D8" w:rsidRPr="008B51EF" w:rsidRDefault="002649D8" w:rsidP="002649D8">
            <w:pPr>
              <w:jc w:val="center"/>
            </w:pPr>
            <w:r>
              <w:rPr>
                <w:color w:val="000000"/>
              </w:rPr>
              <w:t>16,678</w:t>
            </w:r>
          </w:p>
        </w:tc>
        <w:tc>
          <w:tcPr>
            <w:tcW w:w="1260" w:type="dxa"/>
            <w:tcBorders>
              <w:top w:val="nil"/>
              <w:left w:val="nil"/>
              <w:bottom w:val="single" w:sz="4" w:space="0" w:color="auto"/>
              <w:right w:val="single" w:sz="4" w:space="0" w:color="auto"/>
            </w:tcBorders>
            <w:shd w:val="clear" w:color="000000" w:fill="FFFFFF"/>
            <w:noWrap/>
            <w:vAlign w:val="bottom"/>
            <w:hideMark/>
          </w:tcPr>
          <w:p w14:paraId="7F2BB86E" w14:textId="01DD9EE1" w:rsidR="002649D8" w:rsidRPr="008B51EF" w:rsidRDefault="00385184" w:rsidP="002649D8">
            <w:pPr>
              <w:jc w:val="center"/>
            </w:pPr>
            <w:r>
              <w:rPr>
                <w:color w:val="000000"/>
              </w:rPr>
              <w:t>5,465</w:t>
            </w:r>
          </w:p>
        </w:tc>
        <w:tc>
          <w:tcPr>
            <w:tcW w:w="1460" w:type="dxa"/>
            <w:tcBorders>
              <w:top w:val="nil"/>
              <w:left w:val="nil"/>
              <w:bottom w:val="single" w:sz="4" w:space="0" w:color="auto"/>
              <w:right w:val="single" w:sz="4" w:space="0" w:color="auto"/>
            </w:tcBorders>
            <w:shd w:val="clear" w:color="000000" w:fill="FFFFFF"/>
            <w:noWrap/>
            <w:vAlign w:val="bottom"/>
            <w:hideMark/>
          </w:tcPr>
          <w:p w14:paraId="4B4F5151" w14:textId="2E24C501" w:rsidR="002649D8" w:rsidRPr="008B51EF" w:rsidRDefault="002649D8" w:rsidP="002649D8">
            <w:pPr>
              <w:jc w:val="center"/>
            </w:pPr>
            <w:r w:rsidDel="000214FE">
              <w:rPr>
                <w:color w:val="000000"/>
              </w:rPr>
              <w:t>763</w:t>
            </w:r>
          </w:p>
        </w:tc>
        <w:tc>
          <w:tcPr>
            <w:tcW w:w="1360" w:type="dxa"/>
            <w:tcBorders>
              <w:top w:val="nil"/>
              <w:left w:val="nil"/>
              <w:bottom w:val="single" w:sz="4" w:space="0" w:color="auto"/>
              <w:right w:val="single" w:sz="4" w:space="0" w:color="auto"/>
            </w:tcBorders>
            <w:shd w:val="clear" w:color="000000" w:fill="FFFFFF"/>
            <w:noWrap/>
            <w:vAlign w:val="bottom"/>
            <w:hideMark/>
          </w:tcPr>
          <w:p w14:paraId="3CEF65EB" w14:textId="53A671BC" w:rsidR="002649D8" w:rsidRPr="008B51EF" w:rsidRDefault="00385184" w:rsidP="002649D8">
            <w:pPr>
              <w:jc w:val="center"/>
            </w:pPr>
            <w:r>
              <w:rPr>
                <w:color w:val="000000"/>
              </w:rPr>
              <w:t>22,906</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25CBE0" w14:textId="336616E2" w:rsidR="002649D8" w:rsidRPr="008B51EF" w:rsidRDefault="002649D8" w:rsidP="002649D8">
            <w:pPr>
              <w:jc w:val="center"/>
              <w:rPr>
                <w:color w:val="FF0000"/>
              </w:rPr>
            </w:pPr>
            <w:r>
              <w:rPr>
                <w:color w:val="FF0000"/>
              </w:rPr>
              <w:t xml:space="preserve">11,138 </w:t>
            </w:r>
          </w:p>
        </w:tc>
        <w:tc>
          <w:tcPr>
            <w:tcW w:w="1240" w:type="dxa"/>
            <w:tcBorders>
              <w:top w:val="nil"/>
              <w:left w:val="nil"/>
              <w:bottom w:val="single" w:sz="4" w:space="0" w:color="auto"/>
              <w:right w:val="single" w:sz="4" w:space="0" w:color="auto"/>
            </w:tcBorders>
            <w:shd w:val="clear" w:color="000000" w:fill="FFFFFF"/>
            <w:noWrap/>
            <w:vAlign w:val="bottom"/>
            <w:hideMark/>
          </w:tcPr>
          <w:p w14:paraId="100B329C" w14:textId="0CF818E4" w:rsidR="002649D8" w:rsidRPr="008B51EF" w:rsidRDefault="002649D8" w:rsidP="002649D8">
            <w:pPr>
              <w:jc w:val="center"/>
              <w:rPr>
                <w:color w:val="000000"/>
              </w:rPr>
            </w:pPr>
            <w:r>
              <w:rPr>
                <w:color w:val="000000"/>
              </w:rPr>
              <w:t>-20</w:t>
            </w:r>
            <w:r w:rsidRPr="008B51EF" w:rsidDel="000214FE">
              <w:rPr>
                <w:color w:val="000000"/>
              </w:rPr>
              <w:t>%</w:t>
            </w:r>
          </w:p>
        </w:tc>
      </w:tr>
      <w:tr w:rsidR="002649D8" w:rsidRPr="00381240" w14:paraId="1268C13C"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D9AA0CF" w14:textId="24DF9D80" w:rsidR="002649D8" w:rsidRPr="008B51EF" w:rsidRDefault="002649D8" w:rsidP="002649D8">
            <w:pPr>
              <w:jc w:val="center"/>
              <w:rPr>
                <w:color w:val="000000"/>
              </w:rPr>
            </w:pPr>
            <w:r w:rsidRPr="008B51EF">
              <w:rPr>
                <w:color w:val="000000"/>
              </w:rPr>
              <w:t>2035</w:t>
            </w:r>
          </w:p>
        </w:tc>
        <w:tc>
          <w:tcPr>
            <w:tcW w:w="1320" w:type="dxa"/>
            <w:tcBorders>
              <w:top w:val="nil"/>
              <w:left w:val="nil"/>
              <w:bottom w:val="single" w:sz="4" w:space="0" w:color="auto"/>
              <w:right w:val="single" w:sz="4" w:space="0" w:color="auto"/>
            </w:tcBorders>
            <w:shd w:val="clear" w:color="000000" w:fill="FFFFFF"/>
            <w:noWrap/>
            <w:vAlign w:val="bottom"/>
            <w:hideMark/>
          </w:tcPr>
          <w:p w14:paraId="30181D63" w14:textId="31A9F398" w:rsidR="002649D8" w:rsidRPr="008B51EF" w:rsidRDefault="002649D8" w:rsidP="002649D8">
            <w:pPr>
              <w:jc w:val="center"/>
            </w:pPr>
            <w:r>
              <w:rPr>
                <w:color w:val="000000"/>
              </w:rPr>
              <w:t>28,778</w:t>
            </w:r>
          </w:p>
        </w:tc>
        <w:tc>
          <w:tcPr>
            <w:tcW w:w="1260" w:type="dxa"/>
            <w:tcBorders>
              <w:top w:val="nil"/>
              <w:left w:val="nil"/>
              <w:bottom w:val="single" w:sz="4" w:space="0" w:color="auto"/>
              <w:right w:val="single" w:sz="4" w:space="0" w:color="auto"/>
            </w:tcBorders>
            <w:shd w:val="clear" w:color="000000" w:fill="FFFFFF"/>
            <w:noWrap/>
            <w:vAlign w:val="bottom"/>
            <w:hideMark/>
          </w:tcPr>
          <w:p w14:paraId="282C1FEE" w14:textId="5FF2DB9E" w:rsidR="002649D8" w:rsidRPr="008B51EF" w:rsidRDefault="002649D8" w:rsidP="002649D8">
            <w:pPr>
              <w:jc w:val="center"/>
            </w:pPr>
            <w:r>
              <w:rPr>
                <w:color w:val="000000"/>
              </w:rPr>
              <w:t>16,210</w:t>
            </w:r>
          </w:p>
        </w:tc>
        <w:tc>
          <w:tcPr>
            <w:tcW w:w="1260" w:type="dxa"/>
            <w:tcBorders>
              <w:top w:val="nil"/>
              <w:left w:val="nil"/>
              <w:bottom w:val="single" w:sz="4" w:space="0" w:color="auto"/>
              <w:right w:val="single" w:sz="4" w:space="0" w:color="auto"/>
            </w:tcBorders>
            <w:shd w:val="clear" w:color="000000" w:fill="FFFFFF"/>
            <w:noWrap/>
            <w:vAlign w:val="bottom"/>
            <w:hideMark/>
          </w:tcPr>
          <w:p w14:paraId="3FD1B372" w14:textId="02E02E98" w:rsidR="002649D8" w:rsidRPr="008B51EF" w:rsidRDefault="00385184" w:rsidP="002649D8">
            <w:pPr>
              <w:jc w:val="center"/>
            </w:pPr>
            <w:r>
              <w:rPr>
                <w:color w:val="000000"/>
              </w:rPr>
              <w:t>3,748</w:t>
            </w:r>
          </w:p>
        </w:tc>
        <w:tc>
          <w:tcPr>
            <w:tcW w:w="1460" w:type="dxa"/>
            <w:tcBorders>
              <w:top w:val="nil"/>
              <w:left w:val="nil"/>
              <w:bottom w:val="single" w:sz="4" w:space="0" w:color="auto"/>
              <w:right w:val="single" w:sz="4" w:space="0" w:color="auto"/>
            </w:tcBorders>
            <w:shd w:val="clear" w:color="000000" w:fill="FFFFFF"/>
            <w:noWrap/>
            <w:vAlign w:val="bottom"/>
            <w:hideMark/>
          </w:tcPr>
          <w:p w14:paraId="6ADDE8EA" w14:textId="6D6829CC" w:rsidR="002649D8" w:rsidRPr="008B51EF" w:rsidRDefault="002649D8" w:rsidP="002649D8">
            <w:pPr>
              <w:jc w:val="center"/>
            </w:pPr>
            <w:r w:rsidDel="000214FE">
              <w:rPr>
                <w:color w:val="000000"/>
              </w:rPr>
              <w:t>766</w:t>
            </w:r>
          </w:p>
        </w:tc>
        <w:tc>
          <w:tcPr>
            <w:tcW w:w="1360" w:type="dxa"/>
            <w:tcBorders>
              <w:top w:val="nil"/>
              <w:left w:val="nil"/>
              <w:bottom w:val="single" w:sz="4" w:space="0" w:color="auto"/>
              <w:right w:val="single" w:sz="4" w:space="0" w:color="auto"/>
            </w:tcBorders>
            <w:shd w:val="clear" w:color="000000" w:fill="FFFFFF"/>
            <w:noWrap/>
            <w:vAlign w:val="bottom"/>
            <w:hideMark/>
          </w:tcPr>
          <w:p w14:paraId="5E3D444E" w14:textId="50187A3C" w:rsidR="002649D8" w:rsidRPr="008B51EF" w:rsidRDefault="00385184" w:rsidP="002649D8">
            <w:pPr>
              <w:jc w:val="center"/>
            </w:pPr>
            <w:r>
              <w:rPr>
                <w:color w:val="000000"/>
              </w:rPr>
              <w:t>20,725</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72425E" w14:textId="56163BC4" w:rsidR="002649D8" w:rsidRPr="008B51EF" w:rsidRDefault="002649D8" w:rsidP="002649D8">
            <w:pPr>
              <w:jc w:val="center"/>
              <w:rPr>
                <w:color w:val="FF0000"/>
              </w:rPr>
            </w:pPr>
            <w:r>
              <w:rPr>
                <w:color w:val="FF0000"/>
              </w:rPr>
              <w:t xml:space="preserve">13,546 </w:t>
            </w:r>
          </w:p>
        </w:tc>
        <w:tc>
          <w:tcPr>
            <w:tcW w:w="1240" w:type="dxa"/>
            <w:tcBorders>
              <w:top w:val="nil"/>
              <w:left w:val="nil"/>
              <w:bottom w:val="single" w:sz="4" w:space="0" w:color="auto"/>
              <w:right w:val="single" w:sz="4" w:space="0" w:color="auto"/>
            </w:tcBorders>
            <w:shd w:val="clear" w:color="000000" w:fill="FFFFFF"/>
            <w:noWrap/>
            <w:vAlign w:val="bottom"/>
            <w:hideMark/>
          </w:tcPr>
          <w:p w14:paraId="0D690EC8" w14:textId="4825AE65" w:rsidR="002649D8" w:rsidRPr="008B51EF" w:rsidRDefault="002649D8" w:rsidP="002649D8">
            <w:pPr>
              <w:jc w:val="center"/>
              <w:rPr>
                <w:color w:val="000000"/>
              </w:rPr>
            </w:pPr>
            <w:r>
              <w:rPr>
                <w:color w:val="000000"/>
              </w:rPr>
              <w:t>-28</w:t>
            </w:r>
            <w:r w:rsidRPr="008B51EF" w:rsidDel="000214FE">
              <w:rPr>
                <w:color w:val="000000"/>
              </w:rPr>
              <w:t>%</w:t>
            </w:r>
          </w:p>
        </w:tc>
      </w:tr>
      <w:tr w:rsidR="002649D8" w:rsidRPr="00381240" w14:paraId="39D290F1"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7C9E593" w14:textId="68A034DA" w:rsidR="002649D8" w:rsidRPr="008B51EF" w:rsidRDefault="002649D8" w:rsidP="002649D8">
            <w:pPr>
              <w:jc w:val="center"/>
              <w:rPr>
                <w:color w:val="000000"/>
              </w:rPr>
            </w:pPr>
            <w:r w:rsidRPr="008B51EF">
              <w:rPr>
                <w:color w:val="000000"/>
              </w:rPr>
              <w:t>2036</w:t>
            </w:r>
          </w:p>
        </w:tc>
        <w:tc>
          <w:tcPr>
            <w:tcW w:w="1320" w:type="dxa"/>
            <w:tcBorders>
              <w:top w:val="nil"/>
              <w:left w:val="nil"/>
              <w:bottom w:val="single" w:sz="4" w:space="0" w:color="auto"/>
              <w:right w:val="single" w:sz="4" w:space="0" w:color="auto"/>
            </w:tcBorders>
            <w:shd w:val="clear" w:color="000000" w:fill="FFFFFF"/>
            <w:noWrap/>
            <w:vAlign w:val="bottom"/>
            <w:hideMark/>
          </w:tcPr>
          <w:p w14:paraId="77791CE1" w14:textId="65187911" w:rsidR="002649D8" w:rsidRPr="008B51EF" w:rsidRDefault="002649D8" w:rsidP="002649D8">
            <w:pPr>
              <w:jc w:val="center"/>
            </w:pPr>
            <w:r>
              <w:rPr>
                <w:color w:val="000000"/>
              </w:rPr>
              <w:t>28,918</w:t>
            </w:r>
          </w:p>
        </w:tc>
        <w:tc>
          <w:tcPr>
            <w:tcW w:w="1260" w:type="dxa"/>
            <w:tcBorders>
              <w:top w:val="nil"/>
              <w:left w:val="nil"/>
              <w:bottom w:val="single" w:sz="4" w:space="0" w:color="auto"/>
              <w:right w:val="single" w:sz="4" w:space="0" w:color="auto"/>
            </w:tcBorders>
            <w:shd w:val="clear" w:color="000000" w:fill="FFFFFF"/>
            <w:noWrap/>
            <w:vAlign w:val="bottom"/>
            <w:hideMark/>
          </w:tcPr>
          <w:p w14:paraId="7C55D3D4" w14:textId="76E97443" w:rsidR="002649D8" w:rsidRPr="008B51EF" w:rsidRDefault="002649D8" w:rsidP="002649D8">
            <w:pPr>
              <w:jc w:val="center"/>
            </w:pPr>
            <w:r>
              <w:rPr>
                <w:color w:val="000000"/>
              </w:rPr>
              <w:t>12,366</w:t>
            </w:r>
          </w:p>
        </w:tc>
        <w:tc>
          <w:tcPr>
            <w:tcW w:w="1260" w:type="dxa"/>
            <w:tcBorders>
              <w:top w:val="nil"/>
              <w:left w:val="nil"/>
              <w:bottom w:val="single" w:sz="4" w:space="0" w:color="auto"/>
              <w:right w:val="single" w:sz="4" w:space="0" w:color="auto"/>
            </w:tcBorders>
            <w:shd w:val="clear" w:color="000000" w:fill="FFFFFF"/>
            <w:noWrap/>
            <w:vAlign w:val="bottom"/>
            <w:hideMark/>
          </w:tcPr>
          <w:p w14:paraId="03AC6208" w14:textId="751E2E8A" w:rsidR="002649D8" w:rsidRPr="008B51EF" w:rsidRDefault="00385184" w:rsidP="002649D8">
            <w:pPr>
              <w:jc w:val="center"/>
            </w:pPr>
            <w:r>
              <w:rPr>
                <w:color w:val="000000"/>
              </w:rPr>
              <w:t>3,620</w:t>
            </w:r>
          </w:p>
        </w:tc>
        <w:tc>
          <w:tcPr>
            <w:tcW w:w="1460" w:type="dxa"/>
            <w:tcBorders>
              <w:top w:val="nil"/>
              <w:left w:val="nil"/>
              <w:bottom w:val="single" w:sz="4" w:space="0" w:color="auto"/>
              <w:right w:val="single" w:sz="4" w:space="0" w:color="auto"/>
            </w:tcBorders>
            <w:shd w:val="clear" w:color="000000" w:fill="FFFFFF"/>
            <w:noWrap/>
            <w:vAlign w:val="bottom"/>
            <w:hideMark/>
          </w:tcPr>
          <w:p w14:paraId="073983AF" w14:textId="21EC5C3F" w:rsidR="002649D8" w:rsidRPr="008B51EF" w:rsidRDefault="002649D8" w:rsidP="002649D8">
            <w:pPr>
              <w:jc w:val="center"/>
            </w:pPr>
            <w:r w:rsidDel="000214FE">
              <w:rPr>
                <w:color w:val="000000"/>
              </w:rPr>
              <w:t>770</w:t>
            </w:r>
          </w:p>
        </w:tc>
        <w:tc>
          <w:tcPr>
            <w:tcW w:w="1360" w:type="dxa"/>
            <w:tcBorders>
              <w:top w:val="nil"/>
              <w:left w:val="nil"/>
              <w:bottom w:val="single" w:sz="4" w:space="0" w:color="auto"/>
              <w:right w:val="single" w:sz="4" w:space="0" w:color="auto"/>
            </w:tcBorders>
            <w:shd w:val="clear" w:color="000000" w:fill="FFFFFF"/>
            <w:noWrap/>
            <w:vAlign w:val="bottom"/>
            <w:hideMark/>
          </w:tcPr>
          <w:p w14:paraId="447D7B95" w14:textId="039B96F6" w:rsidR="002649D8" w:rsidRPr="008B51EF" w:rsidRDefault="00385184" w:rsidP="002649D8">
            <w:pPr>
              <w:jc w:val="center"/>
            </w:pPr>
            <w:r>
              <w:rPr>
                <w:color w:val="000000"/>
              </w:rPr>
              <w:t>16,756</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AE703" w14:textId="02FB0615" w:rsidR="002649D8" w:rsidRPr="008B51EF" w:rsidRDefault="002649D8" w:rsidP="002649D8">
            <w:pPr>
              <w:jc w:val="center"/>
              <w:rPr>
                <w:color w:val="FF0000"/>
              </w:rPr>
            </w:pPr>
            <w:r>
              <w:rPr>
                <w:color w:val="FF0000"/>
              </w:rPr>
              <w:t xml:space="preserve">17,680 </w:t>
            </w:r>
          </w:p>
        </w:tc>
        <w:tc>
          <w:tcPr>
            <w:tcW w:w="1240" w:type="dxa"/>
            <w:tcBorders>
              <w:top w:val="nil"/>
              <w:left w:val="nil"/>
              <w:bottom w:val="single" w:sz="4" w:space="0" w:color="auto"/>
              <w:right w:val="single" w:sz="4" w:space="0" w:color="auto"/>
            </w:tcBorders>
            <w:shd w:val="clear" w:color="000000" w:fill="FFFFFF"/>
            <w:noWrap/>
            <w:vAlign w:val="bottom"/>
            <w:hideMark/>
          </w:tcPr>
          <w:p w14:paraId="607D166F" w14:textId="6BE24743" w:rsidR="002649D8" w:rsidRPr="008B51EF" w:rsidRDefault="002649D8" w:rsidP="002649D8">
            <w:pPr>
              <w:jc w:val="center"/>
              <w:rPr>
                <w:color w:val="000000"/>
              </w:rPr>
            </w:pPr>
            <w:r>
              <w:rPr>
                <w:color w:val="000000"/>
              </w:rPr>
              <w:t>-42</w:t>
            </w:r>
            <w:r w:rsidRPr="008B51EF" w:rsidDel="000214FE">
              <w:rPr>
                <w:color w:val="000000"/>
              </w:rPr>
              <w:t>%</w:t>
            </w:r>
          </w:p>
        </w:tc>
      </w:tr>
      <w:tr w:rsidR="002649D8" w:rsidRPr="00381240" w14:paraId="37617306"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E0F479D" w14:textId="62D4B52C" w:rsidR="002649D8" w:rsidRPr="008B51EF" w:rsidRDefault="002649D8" w:rsidP="002649D8">
            <w:pPr>
              <w:jc w:val="center"/>
              <w:rPr>
                <w:color w:val="000000"/>
              </w:rPr>
            </w:pPr>
            <w:r w:rsidRPr="008B51EF">
              <w:rPr>
                <w:color w:val="000000"/>
              </w:rPr>
              <w:t>2037</w:t>
            </w:r>
          </w:p>
        </w:tc>
        <w:tc>
          <w:tcPr>
            <w:tcW w:w="1320" w:type="dxa"/>
            <w:tcBorders>
              <w:top w:val="nil"/>
              <w:left w:val="nil"/>
              <w:bottom w:val="single" w:sz="4" w:space="0" w:color="auto"/>
              <w:right w:val="single" w:sz="4" w:space="0" w:color="auto"/>
            </w:tcBorders>
            <w:shd w:val="clear" w:color="000000" w:fill="FFFFFF"/>
            <w:noWrap/>
            <w:vAlign w:val="bottom"/>
            <w:hideMark/>
          </w:tcPr>
          <w:p w14:paraId="0B3B389E" w14:textId="15373F1D" w:rsidR="002649D8" w:rsidRPr="008B51EF" w:rsidRDefault="002649D8" w:rsidP="002649D8">
            <w:pPr>
              <w:jc w:val="center"/>
            </w:pPr>
            <w:r>
              <w:rPr>
                <w:color w:val="000000"/>
              </w:rPr>
              <w:t>29,188</w:t>
            </w:r>
          </w:p>
        </w:tc>
        <w:tc>
          <w:tcPr>
            <w:tcW w:w="1260" w:type="dxa"/>
            <w:tcBorders>
              <w:top w:val="nil"/>
              <w:left w:val="nil"/>
              <w:bottom w:val="single" w:sz="4" w:space="0" w:color="auto"/>
              <w:right w:val="single" w:sz="4" w:space="0" w:color="auto"/>
            </w:tcBorders>
            <w:shd w:val="clear" w:color="000000" w:fill="FFFFFF"/>
            <w:noWrap/>
            <w:vAlign w:val="bottom"/>
            <w:hideMark/>
          </w:tcPr>
          <w:p w14:paraId="79F7AC0F" w14:textId="037D051E" w:rsidR="002649D8" w:rsidRPr="008B51EF" w:rsidRDefault="002649D8" w:rsidP="002649D8">
            <w:pPr>
              <w:jc w:val="center"/>
            </w:pPr>
            <w:r>
              <w:rPr>
                <w:color w:val="000000"/>
              </w:rPr>
              <w:t>12,366</w:t>
            </w:r>
          </w:p>
        </w:tc>
        <w:tc>
          <w:tcPr>
            <w:tcW w:w="1260" w:type="dxa"/>
            <w:tcBorders>
              <w:top w:val="nil"/>
              <w:left w:val="nil"/>
              <w:bottom w:val="single" w:sz="4" w:space="0" w:color="auto"/>
              <w:right w:val="single" w:sz="4" w:space="0" w:color="auto"/>
            </w:tcBorders>
            <w:shd w:val="clear" w:color="000000" w:fill="FFFFFF"/>
            <w:noWrap/>
            <w:vAlign w:val="bottom"/>
            <w:hideMark/>
          </w:tcPr>
          <w:p w14:paraId="2D90B12A" w14:textId="6E3A119C" w:rsidR="002649D8" w:rsidRPr="008B51EF" w:rsidRDefault="00385184" w:rsidP="002649D8">
            <w:pPr>
              <w:jc w:val="center"/>
            </w:pPr>
            <w:r>
              <w:rPr>
                <w:color w:val="000000"/>
              </w:rPr>
              <w:t>3,461</w:t>
            </w:r>
          </w:p>
        </w:tc>
        <w:tc>
          <w:tcPr>
            <w:tcW w:w="1460" w:type="dxa"/>
            <w:tcBorders>
              <w:top w:val="nil"/>
              <w:left w:val="nil"/>
              <w:bottom w:val="single" w:sz="4" w:space="0" w:color="auto"/>
              <w:right w:val="single" w:sz="4" w:space="0" w:color="auto"/>
            </w:tcBorders>
            <w:shd w:val="clear" w:color="000000" w:fill="FFFFFF"/>
            <w:noWrap/>
            <w:vAlign w:val="bottom"/>
            <w:hideMark/>
          </w:tcPr>
          <w:p w14:paraId="22E95986" w14:textId="44C272FA" w:rsidR="002649D8" w:rsidRPr="008B51EF" w:rsidRDefault="002649D8" w:rsidP="002649D8">
            <w:pPr>
              <w:jc w:val="center"/>
            </w:pPr>
            <w:r w:rsidDel="000214FE">
              <w:rPr>
                <w:color w:val="000000"/>
              </w:rPr>
              <w:t>777</w:t>
            </w:r>
          </w:p>
        </w:tc>
        <w:tc>
          <w:tcPr>
            <w:tcW w:w="1360" w:type="dxa"/>
            <w:tcBorders>
              <w:top w:val="nil"/>
              <w:left w:val="nil"/>
              <w:bottom w:val="single" w:sz="4" w:space="0" w:color="auto"/>
              <w:right w:val="single" w:sz="4" w:space="0" w:color="auto"/>
            </w:tcBorders>
            <w:shd w:val="clear" w:color="000000" w:fill="FFFFFF"/>
            <w:noWrap/>
            <w:vAlign w:val="bottom"/>
            <w:hideMark/>
          </w:tcPr>
          <w:p w14:paraId="6D1C252C" w14:textId="72C1AA79" w:rsidR="002649D8" w:rsidRPr="008B51EF" w:rsidRDefault="00385184" w:rsidP="002649D8">
            <w:pPr>
              <w:jc w:val="center"/>
            </w:pPr>
            <w:r>
              <w:rPr>
                <w:color w:val="000000"/>
              </w:rPr>
              <w:t>16,604</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CAEB5D" w14:textId="0AB5D301" w:rsidR="002649D8" w:rsidRPr="008B51EF" w:rsidRDefault="002649D8" w:rsidP="002649D8">
            <w:pPr>
              <w:jc w:val="center"/>
              <w:rPr>
                <w:color w:val="FF0000"/>
              </w:rPr>
            </w:pPr>
            <w:r>
              <w:rPr>
                <w:color w:val="FF0000"/>
              </w:rPr>
              <w:t xml:space="preserve">18,154 </w:t>
            </w:r>
          </w:p>
        </w:tc>
        <w:tc>
          <w:tcPr>
            <w:tcW w:w="1240" w:type="dxa"/>
            <w:tcBorders>
              <w:top w:val="nil"/>
              <w:left w:val="nil"/>
              <w:bottom w:val="single" w:sz="4" w:space="0" w:color="auto"/>
              <w:right w:val="single" w:sz="4" w:space="0" w:color="auto"/>
            </w:tcBorders>
            <w:shd w:val="clear" w:color="000000" w:fill="FFFFFF"/>
            <w:noWrap/>
            <w:vAlign w:val="bottom"/>
            <w:hideMark/>
          </w:tcPr>
          <w:p w14:paraId="62B43BA7" w14:textId="7C6C8854" w:rsidR="002649D8" w:rsidRPr="008B51EF" w:rsidRDefault="002649D8" w:rsidP="002649D8">
            <w:pPr>
              <w:jc w:val="center"/>
              <w:rPr>
                <w:color w:val="000000"/>
              </w:rPr>
            </w:pPr>
            <w:r w:rsidRPr="008B51EF" w:rsidDel="000214FE">
              <w:rPr>
                <w:color w:val="000000"/>
              </w:rPr>
              <w:t>-43%</w:t>
            </w:r>
          </w:p>
        </w:tc>
      </w:tr>
      <w:tr w:rsidR="002649D8" w:rsidRPr="00381240" w14:paraId="62EBB050"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0868299" w14:textId="6AB6FCD8" w:rsidR="002649D8" w:rsidRPr="008B51EF" w:rsidRDefault="002649D8" w:rsidP="002649D8">
            <w:pPr>
              <w:jc w:val="center"/>
              <w:rPr>
                <w:color w:val="000000"/>
              </w:rPr>
            </w:pPr>
            <w:r w:rsidRPr="008B51EF">
              <w:rPr>
                <w:color w:val="000000"/>
              </w:rPr>
              <w:t>2038</w:t>
            </w:r>
          </w:p>
        </w:tc>
        <w:tc>
          <w:tcPr>
            <w:tcW w:w="1320" w:type="dxa"/>
            <w:tcBorders>
              <w:top w:val="nil"/>
              <w:left w:val="nil"/>
              <w:bottom w:val="single" w:sz="4" w:space="0" w:color="auto"/>
              <w:right w:val="single" w:sz="4" w:space="0" w:color="auto"/>
            </w:tcBorders>
            <w:shd w:val="clear" w:color="000000" w:fill="FFFFFF"/>
            <w:noWrap/>
            <w:vAlign w:val="bottom"/>
            <w:hideMark/>
          </w:tcPr>
          <w:p w14:paraId="334D041F" w14:textId="090ECDE7" w:rsidR="002649D8" w:rsidRPr="008B51EF" w:rsidRDefault="002649D8" w:rsidP="002649D8">
            <w:pPr>
              <w:jc w:val="center"/>
            </w:pPr>
            <w:r>
              <w:rPr>
                <w:color w:val="000000"/>
              </w:rPr>
              <w:t>29,385</w:t>
            </w:r>
          </w:p>
        </w:tc>
        <w:tc>
          <w:tcPr>
            <w:tcW w:w="1260" w:type="dxa"/>
            <w:tcBorders>
              <w:top w:val="nil"/>
              <w:left w:val="nil"/>
              <w:bottom w:val="single" w:sz="4" w:space="0" w:color="auto"/>
              <w:right w:val="single" w:sz="4" w:space="0" w:color="auto"/>
            </w:tcBorders>
            <w:shd w:val="clear" w:color="000000" w:fill="FFFFFF"/>
            <w:noWrap/>
            <w:vAlign w:val="bottom"/>
            <w:hideMark/>
          </w:tcPr>
          <w:p w14:paraId="2CA3D941" w14:textId="17FDCBD2" w:rsidR="002649D8" w:rsidRPr="008B51EF" w:rsidRDefault="002649D8" w:rsidP="002649D8">
            <w:pPr>
              <w:jc w:val="center"/>
            </w:pPr>
            <w:r>
              <w:rPr>
                <w:color w:val="000000"/>
              </w:rPr>
              <w:t>12,366</w:t>
            </w:r>
          </w:p>
        </w:tc>
        <w:tc>
          <w:tcPr>
            <w:tcW w:w="1260" w:type="dxa"/>
            <w:tcBorders>
              <w:top w:val="nil"/>
              <w:left w:val="nil"/>
              <w:bottom w:val="single" w:sz="4" w:space="0" w:color="auto"/>
              <w:right w:val="single" w:sz="4" w:space="0" w:color="auto"/>
            </w:tcBorders>
            <w:shd w:val="clear" w:color="000000" w:fill="FFFFFF"/>
            <w:noWrap/>
            <w:vAlign w:val="bottom"/>
            <w:hideMark/>
          </w:tcPr>
          <w:p w14:paraId="24D24ABD" w14:textId="7E80F3E7" w:rsidR="002649D8" w:rsidRPr="008B51EF" w:rsidRDefault="00385184" w:rsidP="002649D8">
            <w:pPr>
              <w:jc w:val="center"/>
            </w:pPr>
            <w:r>
              <w:rPr>
                <w:color w:val="000000"/>
              </w:rPr>
              <w:t>3,237</w:t>
            </w:r>
          </w:p>
        </w:tc>
        <w:tc>
          <w:tcPr>
            <w:tcW w:w="1460" w:type="dxa"/>
            <w:tcBorders>
              <w:top w:val="nil"/>
              <w:left w:val="nil"/>
              <w:bottom w:val="single" w:sz="4" w:space="0" w:color="auto"/>
              <w:right w:val="single" w:sz="4" w:space="0" w:color="auto"/>
            </w:tcBorders>
            <w:shd w:val="clear" w:color="000000" w:fill="FFFFFF"/>
            <w:noWrap/>
            <w:vAlign w:val="bottom"/>
            <w:hideMark/>
          </w:tcPr>
          <w:p w14:paraId="3289EA03" w14:textId="3419E319" w:rsidR="002649D8" w:rsidRPr="008B51EF" w:rsidRDefault="002649D8" w:rsidP="002649D8">
            <w:pPr>
              <w:jc w:val="center"/>
            </w:pPr>
            <w:r w:rsidDel="000214FE">
              <w:rPr>
                <w:color w:val="000000"/>
              </w:rPr>
              <w:t>783</w:t>
            </w:r>
          </w:p>
        </w:tc>
        <w:tc>
          <w:tcPr>
            <w:tcW w:w="1360" w:type="dxa"/>
            <w:tcBorders>
              <w:top w:val="nil"/>
              <w:left w:val="nil"/>
              <w:bottom w:val="single" w:sz="4" w:space="0" w:color="auto"/>
              <w:right w:val="single" w:sz="4" w:space="0" w:color="auto"/>
            </w:tcBorders>
            <w:shd w:val="clear" w:color="000000" w:fill="FFFFFF"/>
            <w:noWrap/>
            <w:vAlign w:val="bottom"/>
            <w:hideMark/>
          </w:tcPr>
          <w:p w14:paraId="6FE33527" w14:textId="602A0B6C" w:rsidR="002649D8" w:rsidRPr="008B51EF" w:rsidRDefault="00385184" w:rsidP="002649D8">
            <w:pPr>
              <w:jc w:val="center"/>
            </w:pPr>
            <w:r>
              <w:rPr>
                <w:color w:val="000000"/>
              </w:rPr>
              <w:t>16,386</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7AFE9E" w14:textId="48052A2A" w:rsidR="002649D8" w:rsidRPr="008B51EF" w:rsidRDefault="002649D8" w:rsidP="002649D8">
            <w:pPr>
              <w:jc w:val="center"/>
              <w:rPr>
                <w:color w:val="FF0000"/>
              </w:rPr>
            </w:pPr>
            <w:r>
              <w:rPr>
                <w:color w:val="FF0000"/>
              </w:rPr>
              <w:t xml:space="preserve">18,608 </w:t>
            </w:r>
          </w:p>
        </w:tc>
        <w:tc>
          <w:tcPr>
            <w:tcW w:w="1240" w:type="dxa"/>
            <w:tcBorders>
              <w:top w:val="nil"/>
              <w:left w:val="nil"/>
              <w:bottom w:val="single" w:sz="4" w:space="0" w:color="auto"/>
              <w:right w:val="single" w:sz="4" w:space="0" w:color="auto"/>
            </w:tcBorders>
            <w:shd w:val="clear" w:color="000000" w:fill="FFFFFF"/>
            <w:noWrap/>
            <w:vAlign w:val="bottom"/>
            <w:hideMark/>
          </w:tcPr>
          <w:p w14:paraId="5B86F180" w14:textId="092F77BC" w:rsidR="002649D8" w:rsidRPr="008B51EF" w:rsidRDefault="002649D8" w:rsidP="002649D8">
            <w:pPr>
              <w:jc w:val="center"/>
              <w:rPr>
                <w:color w:val="000000"/>
              </w:rPr>
            </w:pPr>
            <w:r w:rsidRPr="008B51EF" w:rsidDel="000214FE">
              <w:rPr>
                <w:color w:val="000000"/>
              </w:rPr>
              <w:t>-44%</w:t>
            </w:r>
          </w:p>
        </w:tc>
      </w:tr>
      <w:tr w:rsidR="002649D8" w:rsidRPr="00381240" w14:paraId="1A7F13B6"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6D7CDB9" w14:textId="7D111F0A" w:rsidR="002649D8" w:rsidRPr="008B51EF" w:rsidRDefault="002649D8" w:rsidP="002649D8">
            <w:pPr>
              <w:jc w:val="center"/>
              <w:rPr>
                <w:color w:val="000000"/>
              </w:rPr>
            </w:pPr>
            <w:r w:rsidRPr="008B51EF">
              <w:rPr>
                <w:color w:val="000000"/>
              </w:rPr>
              <w:t>2039</w:t>
            </w:r>
          </w:p>
        </w:tc>
        <w:tc>
          <w:tcPr>
            <w:tcW w:w="1320" w:type="dxa"/>
            <w:tcBorders>
              <w:top w:val="nil"/>
              <w:left w:val="nil"/>
              <w:bottom w:val="single" w:sz="4" w:space="0" w:color="auto"/>
              <w:right w:val="single" w:sz="4" w:space="0" w:color="auto"/>
            </w:tcBorders>
            <w:shd w:val="clear" w:color="000000" w:fill="FFFFFF"/>
            <w:noWrap/>
            <w:vAlign w:val="bottom"/>
            <w:hideMark/>
          </w:tcPr>
          <w:p w14:paraId="1FFBF1D3" w14:textId="14E0C83C" w:rsidR="002649D8" w:rsidRPr="008B51EF" w:rsidRDefault="002649D8" w:rsidP="002649D8">
            <w:pPr>
              <w:jc w:val="center"/>
            </w:pPr>
            <w:r>
              <w:rPr>
                <w:color w:val="000000"/>
              </w:rPr>
              <w:t>29,638</w:t>
            </w:r>
          </w:p>
        </w:tc>
        <w:tc>
          <w:tcPr>
            <w:tcW w:w="1260" w:type="dxa"/>
            <w:tcBorders>
              <w:top w:val="nil"/>
              <w:left w:val="nil"/>
              <w:bottom w:val="single" w:sz="4" w:space="0" w:color="auto"/>
              <w:right w:val="single" w:sz="4" w:space="0" w:color="auto"/>
            </w:tcBorders>
            <w:shd w:val="clear" w:color="000000" w:fill="FFFFFF"/>
            <w:noWrap/>
            <w:vAlign w:val="bottom"/>
            <w:hideMark/>
          </w:tcPr>
          <w:p w14:paraId="1F78E74C" w14:textId="0E6E542E" w:rsidR="002649D8" w:rsidRPr="008B51EF" w:rsidRDefault="002649D8" w:rsidP="002649D8">
            <w:pPr>
              <w:jc w:val="center"/>
            </w:pPr>
            <w:r>
              <w:rPr>
                <w:color w:val="000000"/>
              </w:rPr>
              <w:t>11,718</w:t>
            </w:r>
          </w:p>
        </w:tc>
        <w:tc>
          <w:tcPr>
            <w:tcW w:w="1260" w:type="dxa"/>
            <w:tcBorders>
              <w:top w:val="nil"/>
              <w:left w:val="nil"/>
              <w:bottom w:val="single" w:sz="4" w:space="0" w:color="auto"/>
              <w:right w:val="single" w:sz="4" w:space="0" w:color="auto"/>
            </w:tcBorders>
            <w:shd w:val="clear" w:color="000000" w:fill="FFFFFF"/>
            <w:noWrap/>
            <w:vAlign w:val="bottom"/>
            <w:hideMark/>
          </w:tcPr>
          <w:p w14:paraId="7C4E188F" w14:textId="39A02CE5" w:rsidR="002649D8" w:rsidRPr="008B51EF" w:rsidRDefault="00385184" w:rsidP="002649D8">
            <w:pPr>
              <w:jc w:val="center"/>
            </w:pPr>
            <w:r>
              <w:rPr>
                <w:color w:val="000000"/>
              </w:rPr>
              <w:t>3,237</w:t>
            </w:r>
          </w:p>
        </w:tc>
        <w:tc>
          <w:tcPr>
            <w:tcW w:w="1460" w:type="dxa"/>
            <w:tcBorders>
              <w:top w:val="nil"/>
              <w:left w:val="nil"/>
              <w:bottom w:val="single" w:sz="4" w:space="0" w:color="auto"/>
              <w:right w:val="single" w:sz="4" w:space="0" w:color="auto"/>
            </w:tcBorders>
            <w:shd w:val="clear" w:color="000000" w:fill="FFFFFF"/>
            <w:noWrap/>
            <w:vAlign w:val="bottom"/>
            <w:hideMark/>
          </w:tcPr>
          <w:p w14:paraId="5B1130DD" w14:textId="50E73245" w:rsidR="002649D8" w:rsidRPr="008B51EF" w:rsidRDefault="002649D8" w:rsidP="002649D8">
            <w:pPr>
              <w:jc w:val="center"/>
            </w:pPr>
            <w:r w:rsidDel="000214FE">
              <w:rPr>
                <w:color w:val="000000"/>
              </w:rPr>
              <w:t>789</w:t>
            </w:r>
          </w:p>
        </w:tc>
        <w:tc>
          <w:tcPr>
            <w:tcW w:w="1360" w:type="dxa"/>
            <w:tcBorders>
              <w:top w:val="nil"/>
              <w:left w:val="nil"/>
              <w:bottom w:val="single" w:sz="4" w:space="0" w:color="auto"/>
              <w:right w:val="single" w:sz="4" w:space="0" w:color="auto"/>
            </w:tcBorders>
            <w:shd w:val="clear" w:color="000000" w:fill="FFFFFF"/>
            <w:noWrap/>
            <w:vAlign w:val="bottom"/>
            <w:hideMark/>
          </w:tcPr>
          <w:p w14:paraId="3D8C857F" w14:textId="50805C2E" w:rsidR="002649D8" w:rsidRPr="008B51EF" w:rsidRDefault="00385184" w:rsidP="002649D8">
            <w:pPr>
              <w:jc w:val="center"/>
            </w:pPr>
            <w:r>
              <w:rPr>
                <w:color w:val="000000"/>
              </w:rPr>
              <w:t>15,744</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EA329A" w14:textId="675D25C1" w:rsidR="002649D8" w:rsidRPr="008B51EF" w:rsidRDefault="002649D8" w:rsidP="002649D8">
            <w:pPr>
              <w:jc w:val="center"/>
              <w:rPr>
                <w:color w:val="FF0000"/>
              </w:rPr>
            </w:pPr>
            <w:r>
              <w:rPr>
                <w:color w:val="FF0000"/>
              </w:rPr>
              <w:t xml:space="preserve">19,551 </w:t>
            </w:r>
          </w:p>
        </w:tc>
        <w:tc>
          <w:tcPr>
            <w:tcW w:w="1240" w:type="dxa"/>
            <w:tcBorders>
              <w:top w:val="nil"/>
              <w:left w:val="nil"/>
              <w:bottom w:val="single" w:sz="4" w:space="0" w:color="auto"/>
              <w:right w:val="single" w:sz="4" w:space="0" w:color="auto"/>
            </w:tcBorders>
            <w:shd w:val="clear" w:color="000000" w:fill="FFFFFF"/>
            <w:noWrap/>
            <w:vAlign w:val="bottom"/>
            <w:hideMark/>
          </w:tcPr>
          <w:p w14:paraId="7DA41323" w14:textId="34FD9594" w:rsidR="002649D8" w:rsidRPr="008B51EF" w:rsidRDefault="002649D8" w:rsidP="002649D8">
            <w:pPr>
              <w:jc w:val="center"/>
              <w:rPr>
                <w:color w:val="000000"/>
              </w:rPr>
            </w:pPr>
            <w:r>
              <w:rPr>
                <w:color w:val="000000"/>
              </w:rPr>
              <w:t>-47</w:t>
            </w:r>
            <w:r w:rsidRPr="008B51EF" w:rsidDel="000214FE">
              <w:rPr>
                <w:color w:val="000000"/>
              </w:rPr>
              <w:t>%</w:t>
            </w:r>
          </w:p>
        </w:tc>
      </w:tr>
      <w:tr w:rsidR="002649D8" w:rsidRPr="00381240" w14:paraId="53FA1CAD"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823F979" w14:textId="7F602B73" w:rsidR="002649D8" w:rsidRPr="008B51EF" w:rsidRDefault="002649D8" w:rsidP="002649D8">
            <w:pPr>
              <w:jc w:val="center"/>
              <w:rPr>
                <w:color w:val="000000"/>
              </w:rPr>
            </w:pPr>
            <w:r w:rsidRPr="008B51EF">
              <w:rPr>
                <w:color w:val="000000"/>
              </w:rPr>
              <w:t>2040</w:t>
            </w:r>
          </w:p>
        </w:tc>
        <w:tc>
          <w:tcPr>
            <w:tcW w:w="1320" w:type="dxa"/>
            <w:tcBorders>
              <w:top w:val="nil"/>
              <w:left w:val="nil"/>
              <w:bottom w:val="single" w:sz="4" w:space="0" w:color="auto"/>
              <w:right w:val="single" w:sz="4" w:space="0" w:color="auto"/>
            </w:tcBorders>
            <w:shd w:val="clear" w:color="000000" w:fill="FFFFFF"/>
            <w:noWrap/>
            <w:vAlign w:val="bottom"/>
            <w:hideMark/>
          </w:tcPr>
          <w:p w14:paraId="37264DF5" w14:textId="276FCF11" w:rsidR="002649D8" w:rsidRPr="008B51EF" w:rsidRDefault="002649D8" w:rsidP="002649D8">
            <w:pPr>
              <w:jc w:val="center"/>
            </w:pPr>
            <w:r>
              <w:rPr>
                <w:color w:val="000000"/>
              </w:rPr>
              <w:t>29,795</w:t>
            </w:r>
          </w:p>
        </w:tc>
        <w:tc>
          <w:tcPr>
            <w:tcW w:w="1260" w:type="dxa"/>
            <w:tcBorders>
              <w:top w:val="nil"/>
              <w:left w:val="nil"/>
              <w:bottom w:val="single" w:sz="4" w:space="0" w:color="auto"/>
              <w:right w:val="single" w:sz="4" w:space="0" w:color="auto"/>
            </w:tcBorders>
            <w:shd w:val="clear" w:color="000000" w:fill="FFFFFF"/>
            <w:noWrap/>
            <w:vAlign w:val="bottom"/>
            <w:hideMark/>
          </w:tcPr>
          <w:p w14:paraId="53896FEB" w14:textId="0767956C" w:rsidR="002649D8" w:rsidRPr="008B51EF" w:rsidRDefault="002649D8" w:rsidP="002649D8">
            <w:pPr>
              <w:jc w:val="center"/>
            </w:pPr>
            <w:r>
              <w:rPr>
                <w:color w:val="000000"/>
              </w:rPr>
              <w:t>11,718</w:t>
            </w:r>
          </w:p>
        </w:tc>
        <w:tc>
          <w:tcPr>
            <w:tcW w:w="1260" w:type="dxa"/>
            <w:tcBorders>
              <w:top w:val="nil"/>
              <w:left w:val="nil"/>
              <w:bottom w:val="single" w:sz="4" w:space="0" w:color="auto"/>
              <w:right w:val="single" w:sz="4" w:space="0" w:color="auto"/>
            </w:tcBorders>
            <w:shd w:val="clear" w:color="000000" w:fill="FFFFFF"/>
            <w:noWrap/>
            <w:vAlign w:val="bottom"/>
            <w:hideMark/>
          </w:tcPr>
          <w:p w14:paraId="5A9761E3" w14:textId="2BDC0656" w:rsidR="002649D8" w:rsidRPr="008B51EF" w:rsidRDefault="00385184" w:rsidP="002649D8">
            <w:pPr>
              <w:jc w:val="center"/>
            </w:pPr>
            <w:r>
              <w:rPr>
                <w:color w:val="000000"/>
              </w:rPr>
              <w:t>2,928</w:t>
            </w:r>
          </w:p>
        </w:tc>
        <w:tc>
          <w:tcPr>
            <w:tcW w:w="1460" w:type="dxa"/>
            <w:tcBorders>
              <w:top w:val="nil"/>
              <w:left w:val="nil"/>
              <w:bottom w:val="single" w:sz="4" w:space="0" w:color="auto"/>
              <w:right w:val="single" w:sz="4" w:space="0" w:color="auto"/>
            </w:tcBorders>
            <w:shd w:val="clear" w:color="000000" w:fill="FFFFFF"/>
            <w:noWrap/>
            <w:vAlign w:val="bottom"/>
            <w:hideMark/>
          </w:tcPr>
          <w:p w14:paraId="7C93214B" w14:textId="32EBCA44" w:rsidR="002649D8" w:rsidRPr="008B51EF" w:rsidRDefault="002649D8" w:rsidP="002649D8">
            <w:pPr>
              <w:jc w:val="center"/>
            </w:pPr>
            <w:r w:rsidDel="000214FE">
              <w:rPr>
                <w:color w:val="000000"/>
              </w:rPr>
              <w:t>803</w:t>
            </w:r>
          </w:p>
        </w:tc>
        <w:tc>
          <w:tcPr>
            <w:tcW w:w="1360" w:type="dxa"/>
            <w:tcBorders>
              <w:top w:val="nil"/>
              <w:left w:val="nil"/>
              <w:bottom w:val="single" w:sz="4" w:space="0" w:color="auto"/>
              <w:right w:val="single" w:sz="4" w:space="0" w:color="auto"/>
            </w:tcBorders>
            <w:shd w:val="clear" w:color="000000" w:fill="FFFFFF"/>
            <w:noWrap/>
            <w:vAlign w:val="bottom"/>
            <w:hideMark/>
          </w:tcPr>
          <w:p w14:paraId="337146AA" w14:textId="1ABB4EF3" w:rsidR="002649D8" w:rsidRPr="008B51EF" w:rsidRDefault="00385184" w:rsidP="002649D8">
            <w:pPr>
              <w:jc w:val="center"/>
            </w:pPr>
            <w:r>
              <w:rPr>
                <w:color w:val="000000"/>
              </w:rPr>
              <w:t>15,448</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0AA85" w14:textId="1ED07541" w:rsidR="002649D8" w:rsidRPr="008B51EF" w:rsidRDefault="002649D8" w:rsidP="002649D8">
            <w:pPr>
              <w:jc w:val="center"/>
              <w:rPr>
                <w:color w:val="FF0000"/>
              </w:rPr>
            </w:pPr>
            <w:r>
              <w:rPr>
                <w:color w:val="FF0000"/>
              </w:rPr>
              <w:t xml:space="preserve">20,033 </w:t>
            </w:r>
          </w:p>
        </w:tc>
        <w:tc>
          <w:tcPr>
            <w:tcW w:w="1240" w:type="dxa"/>
            <w:tcBorders>
              <w:top w:val="nil"/>
              <w:left w:val="nil"/>
              <w:bottom w:val="single" w:sz="4" w:space="0" w:color="auto"/>
              <w:right w:val="single" w:sz="4" w:space="0" w:color="auto"/>
            </w:tcBorders>
            <w:shd w:val="clear" w:color="000000" w:fill="FFFFFF"/>
            <w:noWrap/>
            <w:vAlign w:val="bottom"/>
            <w:hideMark/>
          </w:tcPr>
          <w:p w14:paraId="638A8416" w14:textId="3E2F0233" w:rsidR="002649D8" w:rsidRPr="008B51EF" w:rsidRDefault="002649D8" w:rsidP="002649D8">
            <w:pPr>
              <w:jc w:val="center"/>
              <w:rPr>
                <w:color w:val="000000"/>
              </w:rPr>
            </w:pPr>
            <w:r w:rsidRPr="008B51EF" w:rsidDel="000214FE">
              <w:rPr>
                <w:color w:val="000000"/>
              </w:rPr>
              <w:t>-48%</w:t>
            </w:r>
          </w:p>
        </w:tc>
      </w:tr>
      <w:tr w:rsidR="002649D8" w:rsidRPr="00381240" w14:paraId="6A1ACF3F"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D2B0D23" w14:textId="2C743239" w:rsidR="002649D8" w:rsidRPr="008B51EF" w:rsidRDefault="002649D8" w:rsidP="002649D8">
            <w:pPr>
              <w:jc w:val="center"/>
              <w:rPr>
                <w:color w:val="000000"/>
              </w:rPr>
            </w:pPr>
            <w:r w:rsidRPr="008B51EF">
              <w:rPr>
                <w:color w:val="000000"/>
              </w:rPr>
              <w:t>2041</w:t>
            </w:r>
          </w:p>
        </w:tc>
        <w:tc>
          <w:tcPr>
            <w:tcW w:w="1320" w:type="dxa"/>
            <w:tcBorders>
              <w:top w:val="nil"/>
              <w:left w:val="nil"/>
              <w:bottom w:val="single" w:sz="4" w:space="0" w:color="auto"/>
              <w:right w:val="single" w:sz="4" w:space="0" w:color="auto"/>
            </w:tcBorders>
            <w:shd w:val="clear" w:color="000000" w:fill="FFFFFF"/>
            <w:noWrap/>
            <w:vAlign w:val="bottom"/>
            <w:hideMark/>
          </w:tcPr>
          <w:p w14:paraId="37A3CDF5" w14:textId="00B78A6E" w:rsidR="002649D8" w:rsidRPr="008B51EF" w:rsidRDefault="002649D8" w:rsidP="002649D8">
            <w:pPr>
              <w:jc w:val="center"/>
            </w:pPr>
            <w:r>
              <w:rPr>
                <w:color w:val="000000"/>
              </w:rPr>
              <w:t>30,150</w:t>
            </w:r>
          </w:p>
        </w:tc>
        <w:tc>
          <w:tcPr>
            <w:tcW w:w="1260" w:type="dxa"/>
            <w:tcBorders>
              <w:top w:val="nil"/>
              <w:left w:val="nil"/>
              <w:bottom w:val="single" w:sz="4" w:space="0" w:color="auto"/>
              <w:right w:val="single" w:sz="4" w:space="0" w:color="auto"/>
            </w:tcBorders>
            <w:shd w:val="clear" w:color="000000" w:fill="FFFFFF"/>
            <w:noWrap/>
            <w:vAlign w:val="bottom"/>
            <w:hideMark/>
          </w:tcPr>
          <w:p w14:paraId="22210C78" w14:textId="1C4649A6" w:rsidR="002649D8" w:rsidRPr="008B51EF" w:rsidRDefault="002649D8" w:rsidP="002649D8">
            <w:pPr>
              <w:jc w:val="center"/>
            </w:pPr>
            <w:r>
              <w:rPr>
                <w:color w:val="000000"/>
              </w:rPr>
              <w:t>11,718</w:t>
            </w:r>
          </w:p>
        </w:tc>
        <w:tc>
          <w:tcPr>
            <w:tcW w:w="1260" w:type="dxa"/>
            <w:tcBorders>
              <w:top w:val="nil"/>
              <w:left w:val="nil"/>
              <w:bottom w:val="single" w:sz="4" w:space="0" w:color="auto"/>
              <w:right w:val="single" w:sz="4" w:space="0" w:color="auto"/>
            </w:tcBorders>
            <w:shd w:val="clear" w:color="000000" w:fill="FFFFFF"/>
            <w:noWrap/>
            <w:vAlign w:val="bottom"/>
            <w:hideMark/>
          </w:tcPr>
          <w:p w14:paraId="68E8109D" w14:textId="4F8414CF" w:rsidR="002649D8" w:rsidRPr="008B51EF" w:rsidRDefault="00385184" w:rsidP="002649D8">
            <w:pPr>
              <w:jc w:val="center"/>
            </w:pPr>
            <w:r>
              <w:rPr>
                <w:color w:val="000000"/>
              </w:rPr>
              <w:t>2,876</w:t>
            </w:r>
          </w:p>
        </w:tc>
        <w:tc>
          <w:tcPr>
            <w:tcW w:w="1460" w:type="dxa"/>
            <w:tcBorders>
              <w:top w:val="nil"/>
              <w:left w:val="nil"/>
              <w:bottom w:val="single" w:sz="4" w:space="0" w:color="auto"/>
              <w:right w:val="single" w:sz="4" w:space="0" w:color="auto"/>
            </w:tcBorders>
            <w:shd w:val="clear" w:color="000000" w:fill="FFFFFF"/>
            <w:noWrap/>
            <w:vAlign w:val="bottom"/>
            <w:hideMark/>
          </w:tcPr>
          <w:p w14:paraId="29D239A4" w14:textId="191F34B0" w:rsidR="002649D8" w:rsidRPr="008B51EF" w:rsidRDefault="002649D8" w:rsidP="002649D8">
            <w:pPr>
              <w:jc w:val="center"/>
            </w:pPr>
            <w:r w:rsidDel="000214FE">
              <w:rPr>
                <w:color w:val="000000"/>
              </w:rPr>
              <w:t>813</w:t>
            </w:r>
          </w:p>
        </w:tc>
        <w:tc>
          <w:tcPr>
            <w:tcW w:w="1360" w:type="dxa"/>
            <w:tcBorders>
              <w:top w:val="nil"/>
              <w:left w:val="nil"/>
              <w:bottom w:val="single" w:sz="4" w:space="0" w:color="auto"/>
              <w:right w:val="single" w:sz="4" w:space="0" w:color="auto"/>
            </w:tcBorders>
            <w:shd w:val="clear" w:color="000000" w:fill="FFFFFF"/>
            <w:noWrap/>
            <w:vAlign w:val="bottom"/>
            <w:hideMark/>
          </w:tcPr>
          <w:p w14:paraId="00FA23EB" w14:textId="5D34F9E2" w:rsidR="002649D8" w:rsidRPr="008B51EF" w:rsidRDefault="00385184" w:rsidP="002649D8">
            <w:pPr>
              <w:jc w:val="center"/>
            </w:pPr>
            <w:r>
              <w:rPr>
                <w:color w:val="000000"/>
              </w:rPr>
              <w:t>15,407</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40B1F6" w14:textId="54634AE9" w:rsidR="002649D8" w:rsidRPr="008B51EF" w:rsidRDefault="002649D8" w:rsidP="002649D8">
            <w:pPr>
              <w:jc w:val="center"/>
              <w:rPr>
                <w:color w:val="FF0000"/>
              </w:rPr>
            </w:pPr>
            <w:r>
              <w:rPr>
                <w:color w:val="FF0000"/>
              </w:rPr>
              <w:t xml:space="preserve">20,498 </w:t>
            </w:r>
          </w:p>
        </w:tc>
        <w:tc>
          <w:tcPr>
            <w:tcW w:w="1240" w:type="dxa"/>
            <w:tcBorders>
              <w:top w:val="nil"/>
              <w:left w:val="nil"/>
              <w:bottom w:val="single" w:sz="4" w:space="0" w:color="auto"/>
              <w:right w:val="single" w:sz="4" w:space="0" w:color="auto"/>
            </w:tcBorders>
            <w:shd w:val="clear" w:color="000000" w:fill="FFFFFF"/>
            <w:noWrap/>
            <w:vAlign w:val="bottom"/>
            <w:hideMark/>
          </w:tcPr>
          <w:p w14:paraId="27F7D7B4" w14:textId="5AB5375C" w:rsidR="002649D8" w:rsidRPr="008B51EF" w:rsidRDefault="002649D8" w:rsidP="002649D8">
            <w:pPr>
              <w:jc w:val="center"/>
              <w:rPr>
                <w:color w:val="000000"/>
              </w:rPr>
            </w:pPr>
            <w:r>
              <w:rPr>
                <w:color w:val="000000"/>
              </w:rPr>
              <w:t>-49</w:t>
            </w:r>
            <w:r w:rsidRPr="008B51EF" w:rsidDel="000214FE">
              <w:rPr>
                <w:color w:val="000000"/>
              </w:rPr>
              <w:t>%</w:t>
            </w:r>
          </w:p>
        </w:tc>
      </w:tr>
      <w:tr w:rsidR="002649D8" w:rsidRPr="00381240" w14:paraId="4DC36E1A"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18D8495" w14:textId="7519B56A" w:rsidR="002649D8" w:rsidRPr="008B51EF" w:rsidRDefault="002649D8" w:rsidP="002649D8">
            <w:pPr>
              <w:jc w:val="center"/>
              <w:rPr>
                <w:color w:val="000000"/>
              </w:rPr>
            </w:pPr>
            <w:r w:rsidRPr="008B51EF">
              <w:rPr>
                <w:color w:val="000000"/>
              </w:rPr>
              <w:t>2042</w:t>
            </w:r>
          </w:p>
        </w:tc>
        <w:tc>
          <w:tcPr>
            <w:tcW w:w="1320" w:type="dxa"/>
            <w:tcBorders>
              <w:top w:val="nil"/>
              <w:left w:val="nil"/>
              <w:bottom w:val="single" w:sz="4" w:space="0" w:color="auto"/>
              <w:right w:val="single" w:sz="4" w:space="0" w:color="auto"/>
            </w:tcBorders>
            <w:shd w:val="clear" w:color="000000" w:fill="FFFFFF"/>
            <w:noWrap/>
            <w:vAlign w:val="bottom"/>
            <w:hideMark/>
          </w:tcPr>
          <w:p w14:paraId="4D241E72" w14:textId="7651886F" w:rsidR="002649D8" w:rsidRPr="008B51EF" w:rsidRDefault="002649D8" w:rsidP="002649D8">
            <w:pPr>
              <w:jc w:val="center"/>
            </w:pPr>
            <w:r>
              <w:rPr>
                <w:color w:val="000000"/>
              </w:rPr>
              <w:t>30,542</w:t>
            </w:r>
          </w:p>
        </w:tc>
        <w:tc>
          <w:tcPr>
            <w:tcW w:w="1260" w:type="dxa"/>
            <w:tcBorders>
              <w:top w:val="nil"/>
              <w:left w:val="nil"/>
              <w:bottom w:val="single" w:sz="4" w:space="0" w:color="auto"/>
              <w:right w:val="single" w:sz="4" w:space="0" w:color="auto"/>
            </w:tcBorders>
            <w:shd w:val="clear" w:color="000000" w:fill="FFFFFF"/>
            <w:noWrap/>
            <w:vAlign w:val="bottom"/>
            <w:hideMark/>
          </w:tcPr>
          <w:p w14:paraId="7DB0DED7" w14:textId="30EBFDF1" w:rsidR="002649D8" w:rsidRPr="008B51EF" w:rsidRDefault="002649D8" w:rsidP="002649D8">
            <w:pPr>
              <w:jc w:val="center"/>
            </w:pPr>
            <w:r>
              <w:rPr>
                <w:color w:val="000000"/>
              </w:rPr>
              <w:t>11,718</w:t>
            </w:r>
          </w:p>
        </w:tc>
        <w:tc>
          <w:tcPr>
            <w:tcW w:w="1260" w:type="dxa"/>
            <w:tcBorders>
              <w:top w:val="nil"/>
              <w:left w:val="nil"/>
              <w:bottom w:val="single" w:sz="4" w:space="0" w:color="auto"/>
              <w:right w:val="single" w:sz="4" w:space="0" w:color="auto"/>
            </w:tcBorders>
            <w:shd w:val="clear" w:color="000000" w:fill="FFFFFF"/>
            <w:noWrap/>
            <w:vAlign w:val="bottom"/>
            <w:hideMark/>
          </w:tcPr>
          <w:p w14:paraId="0561DFBC" w14:textId="6879C484" w:rsidR="002649D8" w:rsidRPr="008B51EF" w:rsidRDefault="00385184" w:rsidP="002649D8">
            <w:pPr>
              <w:jc w:val="center"/>
            </w:pPr>
            <w:r>
              <w:rPr>
                <w:color w:val="000000"/>
              </w:rPr>
              <w:t>2,866</w:t>
            </w:r>
          </w:p>
        </w:tc>
        <w:tc>
          <w:tcPr>
            <w:tcW w:w="1460" w:type="dxa"/>
            <w:tcBorders>
              <w:top w:val="nil"/>
              <w:left w:val="nil"/>
              <w:bottom w:val="single" w:sz="4" w:space="0" w:color="auto"/>
              <w:right w:val="single" w:sz="4" w:space="0" w:color="auto"/>
            </w:tcBorders>
            <w:shd w:val="clear" w:color="000000" w:fill="FFFFFF"/>
            <w:noWrap/>
            <w:vAlign w:val="bottom"/>
            <w:hideMark/>
          </w:tcPr>
          <w:p w14:paraId="16D0EC11" w14:textId="2274DE1C" w:rsidR="002649D8" w:rsidRPr="008B51EF" w:rsidRDefault="002649D8" w:rsidP="002649D8">
            <w:pPr>
              <w:jc w:val="center"/>
            </w:pPr>
            <w:r w:rsidDel="000214FE">
              <w:rPr>
                <w:color w:val="000000"/>
              </w:rPr>
              <w:t>824</w:t>
            </w:r>
          </w:p>
        </w:tc>
        <w:tc>
          <w:tcPr>
            <w:tcW w:w="1360" w:type="dxa"/>
            <w:tcBorders>
              <w:top w:val="nil"/>
              <w:left w:val="nil"/>
              <w:bottom w:val="single" w:sz="4" w:space="0" w:color="auto"/>
              <w:right w:val="single" w:sz="4" w:space="0" w:color="auto"/>
            </w:tcBorders>
            <w:shd w:val="clear" w:color="000000" w:fill="FFFFFF"/>
            <w:noWrap/>
            <w:vAlign w:val="bottom"/>
            <w:hideMark/>
          </w:tcPr>
          <w:p w14:paraId="67FD0790" w14:textId="7879B00F" w:rsidR="002649D8" w:rsidRPr="008B51EF" w:rsidRDefault="00385184" w:rsidP="002649D8">
            <w:pPr>
              <w:jc w:val="center"/>
            </w:pPr>
            <w:r>
              <w:rPr>
                <w:color w:val="000000"/>
              </w:rPr>
              <w:t>15,408</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1812C6" w14:textId="6F64321F" w:rsidR="002649D8" w:rsidRPr="008B51EF" w:rsidRDefault="002649D8" w:rsidP="002649D8">
            <w:pPr>
              <w:jc w:val="center"/>
              <w:rPr>
                <w:color w:val="FF0000"/>
              </w:rPr>
            </w:pPr>
            <w:r>
              <w:rPr>
                <w:color w:val="FF0000"/>
              </w:rPr>
              <w:t xml:space="preserve">20,963 </w:t>
            </w:r>
          </w:p>
        </w:tc>
        <w:tc>
          <w:tcPr>
            <w:tcW w:w="1240" w:type="dxa"/>
            <w:tcBorders>
              <w:top w:val="nil"/>
              <w:left w:val="nil"/>
              <w:bottom w:val="single" w:sz="4" w:space="0" w:color="auto"/>
              <w:right w:val="single" w:sz="4" w:space="0" w:color="auto"/>
            </w:tcBorders>
            <w:shd w:val="clear" w:color="000000" w:fill="FFFFFF"/>
            <w:noWrap/>
            <w:vAlign w:val="bottom"/>
            <w:hideMark/>
          </w:tcPr>
          <w:p w14:paraId="4395329C" w14:textId="4A58E876" w:rsidR="002649D8" w:rsidRPr="008B51EF" w:rsidRDefault="002649D8" w:rsidP="002649D8">
            <w:pPr>
              <w:jc w:val="center"/>
              <w:rPr>
                <w:color w:val="000000"/>
              </w:rPr>
            </w:pPr>
            <w:r>
              <w:rPr>
                <w:color w:val="000000"/>
              </w:rPr>
              <w:t>-50</w:t>
            </w:r>
            <w:r w:rsidRPr="008B51EF" w:rsidDel="000214FE">
              <w:rPr>
                <w:color w:val="000000"/>
              </w:rPr>
              <w:t>%</w:t>
            </w:r>
          </w:p>
        </w:tc>
      </w:tr>
      <w:tr w:rsidR="002649D8" w:rsidRPr="00381240" w14:paraId="76FB6D7D"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D63B6B5" w14:textId="4FDAD880" w:rsidR="002649D8" w:rsidRPr="008B51EF" w:rsidRDefault="002649D8" w:rsidP="002649D8">
            <w:pPr>
              <w:jc w:val="center"/>
              <w:rPr>
                <w:color w:val="000000"/>
              </w:rPr>
            </w:pPr>
            <w:r w:rsidRPr="008B51EF">
              <w:rPr>
                <w:color w:val="000000"/>
              </w:rPr>
              <w:t>2043</w:t>
            </w:r>
          </w:p>
        </w:tc>
        <w:tc>
          <w:tcPr>
            <w:tcW w:w="1320" w:type="dxa"/>
            <w:tcBorders>
              <w:top w:val="nil"/>
              <w:left w:val="nil"/>
              <w:bottom w:val="single" w:sz="4" w:space="0" w:color="auto"/>
              <w:right w:val="single" w:sz="4" w:space="0" w:color="auto"/>
            </w:tcBorders>
            <w:shd w:val="clear" w:color="000000" w:fill="FFFFFF"/>
            <w:noWrap/>
            <w:vAlign w:val="bottom"/>
            <w:hideMark/>
          </w:tcPr>
          <w:p w14:paraId="556520BC" w14:textId="19B073FB" w:rsidR="002649D8" w:rsidRPr="008B51EF" w:rsidRDefault="002649D8" w:rsidP="002649D8">
            <w:pPr>
              <w:jc w:val="center"/>
            </w:pPr>
            <w:r>
              <w:rPr>
                <w:color w:val="000000"/>
              </w:rPr>
              <w:t>30,946</w:t>
            </w:r>
          </w:p>
        </w:tc>
        <w:tc>
          <w:tcPr>
            <w:tcW w:w="1260" w:type="dxa"/>
            <w:tcBorders>
              <w:top w:val="nil"/>
              <w:left w:val="nil"/>
              <w:bottom w:val="single" w:sz="4" w:space="0" w:color="auto"/>
              <w:right w:val="single" w:sz="4" w:space="0" w:color="auto"/>
            </w:tcBorders>
            <w:shd w:val="clear" w:color="000000" w:fill="FFFFFF"/>
            <w:noWrap/>
            <w:vAlign w:val="bottom"/>
            <w:hideMark/>
          </w:tcPr>
          <w:p w14:paraId="23A5A41D" w14:textId="215E109E" w:rsidR="002649D8" w:rsidRPr="008B51EF" w:rsidRDefault="002649D8" w:rsidP="002649D8">
            <w:pPr>
              <w:jc w:val="center"/>
            </w:pPr>
            <w:r>
              <w:rPr>
                <w:color w:val="000000"/>
              </w:rPr>
              <w:t>11,718</w:t>
            </w:r>
          </w:p>
        </w:tc>
        <w:tc>
          <w:tcPr>
            <w:tcW w:w="1260" w:type="dxa"/>
            <w:tcBorders>
              <w:top w:val="nil"/>
              <w:left w:val="nil"/>
              <w:bottom w:val="single" w:sz="4" w:space="0" w:color="auto"/>
              <w:right w:val="single" w:sz="4" w:space="0" w:color="auto"/>
            </w:tcBorders>
            <w:shd w:val="clear" w:color="000000" w:fill="FFFFFF"/>
            <w:noWrap/>
            <w:vAlign w:val="bottom"/>
            <w:hideMark/>
          </w:tcPr>
          <w:p w14:paraId="2495C1E1" w14:textId="30B04C39" w:rsidR="002649D8" w:rsidRPr="008B51EF" w:rsidRDefault="00385184" w:rsidP="002649D8">
            <w:pPr>
              <w:jc w:val="center"/>
            </w:pPr>
            <w:r>
              <w:rPr>
                <w:color w:val="000000"/>
              </w:rPr>
              <w:t>2,861</w:t>
            </w:r>
          </w:p>
        </w:tc>
        <w:tc>
          <w:tcPr>
            <w:tcW w:w="1460" w:type="dxa"/>
            <w:tcBorders>
              <w:top w:val="nil"/>
              <w:left w:val="nil"/>
              <w:bottom w:val="single" w:sz="4" w:space="0" w:color="auto"/>
              <w:right w:val="single" w:sz="4" w:space="0" w:color="auto"/>
            </w:tcBorders>
            <w:shd w:val="clear" w:color="000000" w:fill="FFFFFF"/>
            <w:noWrap/>
            <w:vAlign w:val="bottom"/>
            <w:hideMark/>
          </w:tcPr>
          <w:p w14:paraId="203BAA4F" w14:textId="766903D7" w:rsidR="002649D8" w:rsidRPr="008B51EF" w:rsidRDefault="002649D8" w:rsidP="002649D8">
            <w:pPr>
              <w:jc w:val="center"/>
            </w:pPr>
            <w:r w:rsidDel="000214FE">
              <w:rPr>
                <w:color w:val="000000"/>
              </w:rPr>
              <w:t>835</w:t>
            </w:r>
          </w:p>
        </w:tc>
        <w:tc>
          <w:tcPr>
            <w:tcW w:w="1360" w:type="dxa"/>
            <w:tcBorders>
              <w:top w:val="nil"/>
              <w:left w:val="nil"/>
              <w:bottom w:val="single" w:sz="4" w:space="0" w:color="auto"/>
              <w:right w:val="single" w:sz="4" w:space="0" w:color="auto"/>
            </w:tcBorders>
            <w:shd w:val="clear" w:color="000000" w:fill="FFFFFF"/>
            <w:noWrap/>
            <w:vAlign w:val="bottom"/>
            <w:hideMark/>
          </w:tcPr>
          <w:p w14:paraId="2C015CD0" w14:textId="35C546D8" w:rsidR="002649D8" w:rsidRPr="008B51EF" w:rsidRDefault="00385184" w:rsidP="002649D8">
            <w:pPr>
              <w:jc w:val="center"/>
            </w:pPr>
            <w:r>
              <w:rPr>
                <w:color w:val="000000"/>
              </w:rPr>
              <w:t>15,414</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524F4F" w14:textId="6C3B8A22" w:rsidR="002649D8" w:rsidRPr="008B51EF" w:rsidRDefault="002649D8" w:rsidP="002649D8">
            <w:pPr>
              <w:jc w:val="center"/>
              <w:rPr>
                <w:color w:val="FF0000"/>
              </w:rPr>
            </w:pPr>
            <w:r>
              <w:rPr>
                <w:color w:val="FF0000"/>
              </w:rPr>
              <w:t xml:space="preserve">21,438 </w:t>
            </w:r>
          </w:p>
        </w:tc>
        <w:tc>
          <w:tcPr>
            <w:tcW w:w="1240" w:type="dxa"/>
            <w:tcBorders>
              <w:top w:val="nil"/>
              <w:left w:val="nil"/>
              <w:bottom w:val="single" w:sz="4" w:space="0" w:color="auto"/>
              <w:right w:val="single" w:sz="4" w:space="0" w:color="auto"/>
            </w:tcBorders>
            <w:shd w:val="clear" w:color="000000" w:fill="FFFFFF"/>
            <w:noWrap/>
            <w:vAlign w:val="bottom"/>
            <w:hideMark/>
          </w:tcPr>
          <w:p w14:paraId="2FB968EF" w14:textId="432F26FF" w:rsidR="002649D8" w:rsidRPr="008B51EF" w:rsidRDefault="002649D8" w:rsidP="002649D8">
            <w:pPr>
              <w:jc w:val="center"/>
              <w:rPr>
                <w:color w:val="000000"/>
              </w:rPr>
            </w:pPr>
            <w:r w:rsidRPr="008B51EF" w:rsidDel="000214FE">
              <w:rPr>
                <w:color w:val="000000"/>
              </w:rPr>
              <w:t>-50%</w:t>
            </w:r>
          </w:p>
        </w:tc>
      </w:tr>
      <w:tr w:rsidR="002649D8" w:rsidRPr="00381240" w14:paraId="7A99D1CD" w14:textId="77777777" w:rsidTr="00910C28">
        <w:trPr>
          <w:trHeight w:val="2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6A45E5B" w14:textId="02F7ED2A" w:rsidR="002649D8" w:rsidRPr="008B51EF" w:rsidRDefault="002649D8" w:rsidP="002649D8">
            <w:pPr>
              <w:jc w:val="center"/>
              <w:rPr>
                <w:color w:val="000000"/>
              </w:rPr>
            </w:pPr>
            <w:r w:rsidRPr="008B51EF">
              <w:rPr>
                <w:color w:val="000000"/>
              </w:rPr>
              <w:t>2044</w:t>
            </w:r>
          </w:p>
        </w:tc>
        <w:tc>
          <w:tcPr>
            <w:tcW w:w="1320" w:type="dxa"/>
            <w:tcBorders>
              <w:top w:val="nil"/>
              <w:left w:val="nil"/>
              <w:bottom w:val="single" w:sz="4" w:space="0" w:color="auto"/>
              <w:right w:val="single" w:sz="4" w:space="0" w:color="auto"/>
            </w:tcBorders>
            <w:shd w:val="clear" w:color="000000" w:fill="FFFFFF"/>
            <w:noWrap/>
            <w:vAlign w:val="bottom"/>
            <w:hideMark/>
          </w:tcPr>
          <w:p w14:paraId="0AC48BF9" w14:textId="7C5226A4" w:rsidR="002649D8" w:rsidRPr="008B51EF" w:rsidRDefault="002649D8" w:rsidP="002649D8">
            <w:pPr>
              <w:jc w:val="center"/>
            </w:pPr>
            <w:r>
              <w:rPr>
                <w:color w:val="000000"/>
              </w:rPr>
              <w:t>31,419</w:t>
            </w:r>
          </w:p>
        </w:tc>
        <w:tc>
          <w:tcPr>
            <w:tcW w:w="1260" w:type="dxa"/>
            <w:tcBorders>
              <w:top w:val="nil"/>
              <w:left w:val="nil"/>
              <w:bottom w:val="single" w:sz="4" w:space="0" w:color="auto"/>
              <w:right w:val="single" w:sz="4" w:space="0" w:color="auto"/>
            </w:tcBorders>
            <w:shd w:val="clear" w:color="000000" w:fill="FFFFFF"/>
            <w:noWrap/>
            <w:vAlign w:val="bottom"/>
            <w:hideMark/>
          </w:tcPr>
          <w:p w14:paraId="313A8ACD" w14:textId="76A15F3B" w:rsidR="002649D8" w:rsidRPr="008B51EF" w:rsidRDefault="002649D8" w:rsidP="002649D8">
            <w:pPr>
              <w:jc w:val="center"/>
            </w:pPr>
            <w:r>
              <w:rPr>
                <w:color w:val="000000"/>
              </w:rPr>
              <w:t>11,718</w:t>
            </w:r>
          </w:p>
        </w:tc>
        <w:tc>
          <w:tcPr>
            <w:tcW w:w="1260" w:type="dxa"/>
            <w:tcBorders>
              <w:top w:val="nil"/>
              <w:left w:val="nil"/>
              <w:bottom w:val="single" w:sz="4" w:space="0" w:color="auto"/>
              <w:right w:val="single" w:sz="4" w:space="0" w:color="auto"/>
            </w:tcBorders>
            <w:shd w:val="clear" w:color="000000" w:fill="FFFFFF"/>
            <w:noWrap/>
            <w:vAlign w:val="bottom"/>
            <w:hideMark/>
          </w:tcPr>
          <w:p w14:paraId="2DEBAEEB" w14:textId="27CF62BB" w:rsidR="002649D8" w:rsidRPr="008B51EF" w:rsidRDefault="00385184" w:rsidP="002649D8">
            <w:pPr>
              <w:jc w:val="center"/>
            </w:pPr>
            <w:r>
              <w:rPr>
                <w:color w:val="000000"/>
              </w:rPr>
              <w:t>2,858</w:t>
            </w:r>
          </w:p>
        </w:tc>
        <w:tc>
          <w:tcPr>
            <w:tcW w:w="1460" w:type="dxa"/>
            <w:tcBorders>
              <w:top w:val="nil"/>
              <w:left w:val="nil"/>
              <w:bottom w:val="single" w:sz="4" w:space="0" w:color="auto"/>
              <w:right w:val="single" w:sz="4" w:space="0" w:color="auto"/>
            </w:tcBorders>
            <w:shd w:val="clear" w:color="000000" w:fill="FFFFFF"/>
            <w:noWrap/>
            <w:vAlign w:val="bottom"/>
            <w:hideMark/>
          </w:tcPr>
          <w:p w14:paraId="45A23C0C" w14:textId="5A0B62FE" w:rsidR="002649D8" w:rsidRPr="008B51EF" w:rsidRDefault="002649D8" w:rsidP="002649D8">
            <w:pPr>
              <w:jc w:val="center"/>
            </w:pPr>
            <w:r w:rsidDel="000214FE">
              <w:rPr>
                <w:color w:val="000000"/>
              </w:rPr>
              <w:t>846</w:t>
            </w:r>
          </w:p>
        </w:tc>
        <w:tc>
          <w:tcPr>
            <w:tcW w:w="1360" w:type="dxa"/>
            <w:tcBorders>
              <w:top w:val="nil"/>
              <w:left w:val="nil"/>
              <w:bottom w:val="single" w:sz="4" w:space="0" w:color="auto"/>
              <w:right w:val="single" w:sz="4" w:space="0" w:color="auto"/>
            </w:tcBorders>
            <w:shd w:val="clear" w:color="000000" w:fill="FFFFFF"/>
            <w:noWrap/>
            <w:vAlign w:val="bottom"/>
            <w:hideMark/>
          </w:tcPr>
          <w:p w14:paraId="7BE6678E" w14:textId="01E199EC" w:rsidR="002649D8" w:rsidRPr="008B51EF" w:rsidRDefault="00385184" w:rsidP="002649D8">
            <w:pPr>
              <w:jc w:val="center"/>
            </w:pPr>
            <w:r>
              <w:rPr>
                <w:color w:val="000000"/>
              </w:rPr>
              <w:t>15,422</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1FB290" w14:textId="46DA9893" w:rsidR="002649D8" w:rsidRPr="008B51EF" w:rsidRDefault="002649D8" w:rsidP="002649D8">
            <w:pPr>
              <w:jc w:val="center"/>
              <w:rPr>
                <w:color w:val="FF0000"/>
              </w:rPr>
            </w:pPr>
            <w:r>
              <w:rPr>
                <w:color w:val="FF0000"/>
              </w:rPr>
              <w:t xml:space="preserve">21,993 </w:t>
            </w:r>
          </w:p>
        </w:tc>
        <w:tc>
          <w:tcPr>
            <w:tcW w:w="1240" w:type="dxa"/>
            <w:tcBorders>
              <w:top w:val="nil"/>
              <w:left w:val="nil"/>
              <w:bottom w:val="single" w:sz="4" w:space="0" w:color="auto"/>
              <w:right w:val="single" w:sz="4" w:space="0" w:color="auto"/>
            </w:tcBorders>
            <w:shd w:val="clear" w:color="000000" w:fill="FFFFFF"/>
            <w:noWrap/>
            <w:vAlign w:val="bottom"/>
            <w:hideMark/>
          </w:tcPr>
          <w:p w14:paraId="48122171" w14:textId="0E71BA2E" w:rsidR="002649D8" w:rsidRPr="008B51EF" w:rsidRDefault="002649D8" w:rsidP="002649D8">
            <w:pPr>
              <w:jc w:val="center"/>
              <w:rPr>
                <w:color w:val="000000"/>
              </w:rPr>
            </w:pPr>
            <w:r>
              <w:rPr>
                <w:color w:val="000000"/>
              </w:rPr>
              <w:t>-51</w:t>
            </w:r>
            <w:r w:rsidRPr="008B51EF" w:rsidDel="000214FE">
              <w:rPr>
                <w:color w:val="000000"/>
              </w:rPr>
              <w:t>%</w:t>
            </w:r>
          </w:p>
        </w:tc>
      </w:tr>
      <w:tr w:rsidR="00381240" w:rsidRPr="00381240" w14:paraId="36B41E8D" w14:textId="77777777" w:rsidTr="00910C28">
        <w:trPr>
          <w:trHeight w:val="2900"/>
          <w:jc w:val="center"/>
        </w:trPr>
        <w:tc>
          <w:tcPr>
            <w:tcW w:w="10420" w:type="dxa"/>
            <w:gridSpan w:val="8"/>
            <w:tcBorders>
              <w:top w:val="nil"/>
              <w:left w:val="nil"/>
              <w:bottom w:val="nil"/>
              <w:right w:val="nil"/>
            </w:tcBorders>
            <w:shd w:val="clear" w:color="000000" w:fill="FFFFFF"/>
            <w:vAlign w:val="center"/>
            <w:hideMark/>
          </w:tcPr>
          <w:p w14:paraId="11E91AC1" w14:textId="5E291656" w:rsidR="00381240" w:rsidRPr="008B51EF" w:rsidRDefault="00381240" w:rsidP="003E6F50">
            <w:pPr>
              <w:ind w:leftChars="-13" w:left="-2" w:hangingChars="11" w:hanging="24"/>
              <w:rPr>
                <w:color w:val="000000"/>
                <w:sz w:val="22"/>
                <w:szCs w:val="22"/>
              </w:rPr>
            </w:pPr>
            <w:r w:rsidRPr="008B51EF">
              <w:rPr>
                <w:b/>
                <w:color w:val="000000"/>
                <w:sz w:val="22"/>
                <w:szCs w:val="22"/>
              </w:rPr>
              <w:t>Notes</w:t>
            </w:r>
            <w:r w:rsidRPr="008B51EF">
              <w:rPr>
                <w:color w:val="000000"/>
                <w:sz w:val="22"/>
                <w:szCs w:val="22"/>
              </w:rPr>
              <w:br/>
              <w:t xml:space="preserve">(A) Territorial Load requirements less non-dispatchable </w:t>
            </w:r>
            <w:r w:rsidR="00B96315" w:rsidRPr="008B51EF">
              <w:rPr>
                <w:color w:val="000000"/>
                <w:sz w:val="22"/>
                <w:szCs w:val="22"/>
              </w:rPr>
              <w:t>demand-side options (“</w:t>
            </w:r>
            <w:r w:rsidRPr="008B51EF">
              <w:rPr>
                <w:color w:val="000000"/>
                <w:sz w:val="22"/>
                <w:szCs w:val="22"/>
              </w:rPr>
              <w:t>DSOs</w:t>
            </w:r>
            <w:r w:rsidR="00B96315" w:rsidRPr="008B51EF">
              <w:rPr>
                <w:color w:val="000000"/>
                <w:sz w:val="22"/>
                <w:szCs w:val="22"/>
              </w:rPr>
              <w:t>”)</w:t>
            </w:r>
            <w:r w:rsidRPr="008B51EF">
              <w:rPr>
                <w:color w:val="000000"/>
                <w:sz w:val="22"/>
                <w:szCs w:val="22"/>
              </w:rPr>
              <w:t>.</w:t>
            </w:r>
            <w:r w:rsidRPr="008B51EF">
              <w:rPr>
                <w:color w:val="000000"/>
                <w:sz w:val="22"/>
                <w:szCs w:val="22"/>
              </w:rPr>
              <w:br/>
              <w:t xml:space="preserve">(B) </w:t>
            </w:r>
            <w:r w:rsidR="004F7137" w:rsidRPr="008B51EF">
              <w:rPr>
                <w:color w:val="000000"/>
                <w:sz w:val="22"/>
                <w:szCs w:val="22"/>
              </w:rPr>
              <w:t>Values reflect effective load carrying capability (“ELCC”)</w:t>
            </w:r>
            <w:r w:rsidRPr="008B51EF">
              <w:rPr>
                <w:color w:val="000000"/>
                <w:sz w:val="22"/>
                <w:szCs w:val="22"/>
              </w:rPr>
              <w:t>.</w:t>
            </w:r>
            <w:r w:rsidRPr="008B51EF">
              <w:rPr>
                <w:color w:val="000000"/>
                <w:sz w:val="22"/>
                <w:szCs w:val="22"/>
              </w:rPr>
              <w:br/>
              <w:t>(C) Includes territorial and imported power purchases. Capacity does not include the 500 MW Energy Storage System (</w:t>
            </w:r>
            <w:r w:rsidR="00923365" w:rsidRPr="008B51EF">
              <w:rPr>
                <w:color w:val="000000"/>
                <w:sz w:val="22"/>
                <w:szCs w:val="22"/>
              </w:rPr>
              <w:t>“</w:t>
            </w:r>
            <w:r w:rsidRPr="008B51EF">
              <w:rPr>
                <w:color w:val="000000"/>
                <w:sz w:val="22"/>
                <w:szCs w:val="22"/>
              </w:rPr>
              <w:t>ESS</w:t>
            </w:r>
            <w:r w:rsidR="00923365" w:rsidRPr="008B51EF">
              <w:rPr>
                <w:color w:val="000000"/>
                <w:sz w:val="22"/>
                <w:szCs w:val="22"/>
              </w:rPr>
              <w:t>”</w:t>
            </w:r>
            <w:r w:rsidRPr="008B51EF">
              <w:rPr>
                <w:color w:val="000000"/>
                <w:sz w:val="22"/>
                <w:szCs w:val="22"/>
              </w:rPr>
              <w:t>) RFP approved in the 2022 IRP to show total procurement needs.</w:t>
            </w:r>
            <w:r w:rsidRPr="008B51EF">
              <w:rPr>
                <w:color w:val="000000"/>
                <w:sz w:val="22"/>
                <w:szCs w:val="22"/>
              </w:rPr>
              <w:br/>
              <w:t>(</w:t>
            </w:r>
            <w:r w:rsidR="00F3394A" w:rsidRPr="008B51EF">
              <w:rPr>
                <w:color w:val="000000"/>
                <w:sz w:val="22"/>
                <w:szCs w:val="22"/>
              </w:rPr>
              <w:t>D</w:t>
            </w:r>
            <w:r w:rsidRPr="008B51EF">
              <w:rPr>
                <w:color w:val="000000"/>
                <w:sz w:val="22"/>
                <w:szCs w:val="22"/>
              </w:rPr>
              <w:t xml:space="preserve">) Does not consider planning reserve sharing. Reflects GPC's Target Reserve Margin resulting from a System Target Reserve Margin of </w:t>
            </w:r>
            <w:r w:rsidR="00B722C8">
              <w:rPr>
                <w:color w:val="000000"/>
                <w:sz w:val="22"/>
                <w:szCs w:val="22"/>
              </w:rPr>
              <w:t>19</w:t>
            </w:r>
            <w:r w:rsidRPr="008B51EF">
              <w:rPr>
                <w:color w:val="000000"/>
                <w:sz w:val="22"/>
                <w:szCs w:val="22"/>
              </w:rPr>
              <w:t>.50% (2025-2027) and 2</w:t>
            </w:r>
            <w:r w:rsidR="00B722C8">
              <w:rPr>
                <w:color w:val="000000"/>
                <w:sz w:val="22"/>
                <w:szCs w:val="22"/>
              </w:rPr>
              <w:t>0</w:t>
            </w:r>
            <w:r w:rsidRPr="008B51EF">
              <w:rPr>
                <w:color w:val="000000"/>
                <w:sz w:val="22"/>
                <w:szCs w:val="22"/>
              </w:rPr>
              <w:t>% (2028 and beyond).</w:t>
            </w:r>
          </w:p>
        </w:tc>
      </w:tr>
    </w:tbl>
    <w:p w14:paraId="1D7D78D7" w14:textId="77777777" w:rsidR="00A62858" w:rsidRDefault="00A62858" w:rsidP="00381240">
      <w:pPr>
        <w:spacing w:after="160" w:line="278" w:lineRule="auto"/>
        <w:rPr>
          <w:rFonts w:ascii="Aptos" w:eastAsia="Aptos" w:hAnsi="Aptos"/>
          <w:kern w:val="2"/>
          <w:sz w:val="24"/>
          <w:szCs w:val="24"/>
          <w14:ligatures w14:val="standardContextual"/>
        </w:rPr>
      </w:pPr>
    </w:p>
    <w:p w14:paraId="23824901" w14:textId="77777777" w:rsidR="00381240" w:rsidRPr="00381240" w:rsidRDefault="00A62858" w:rsidP="008B51EF">
      <w:pPr>
        <w:rPr>
          <w:rFonts w:ascii="Aptos" w:eastAsia="Aptos" w:hAnsi="Aptos"/>
          <w:kern w:val="2"/>
          <w:sz w:val="24"/>
          <w:szCs w:val="24"/>
          <w14:ligatures w14:val="standardContextual"/>
        </w:rPr>
      </w:pPr>
      <w:r>
        <w:rPr>
          <w:rFonts w:ascii="Aptos" w:eastAsia="Aptos" w:hAnsi="Aptos"/>
          <w:kern w:val="2"/>
          <w:sz w:val="24"/>
          <w:szCs w:val="24"/>
          <w14:ligatures w14:val="standardContextual"/>
        </w:rPr>
        <w:br w:type="page"/>
      </w:r>
    </w:p>
    <w:tbl>
      <w:tblPr>
        <w:tblW w:w="10432" w:type="dxa"/>
        <w:jc w:val="center"/>
        <w:tblLook w:val="04A0" w:firstRow="1" w:lastRow="0" w:firstColumn="1" w:lastColumn="0" w:noHBand="0" w:noVBand="1"/>
      </w:tblPr>
      <w:tblGrid>
        <w:gridCol w:w="1072"/>
        <w:gridCol w:w="1320"/>
        <w:gridCol w:w="1260"/>
        <w:gridCol w:w="1260"/>
        <w:gridCol w:w="1460"/>
        <w:gridCol w:w="1360"/>
        <w:gridCol w:w="1460"/>
        <w:gridCol w:w="1240"/>
      </w:tblGrid>
      <w:tr w:rsidR="00381240" w:rsidRPr="00A62858" w14:paraId="6376BEA0" w14:textId="77777777" w:rsidTr="008B51EF">
        <w:trPr>
          <w:trHeight w:val="576"/>
          <w:jc w:val="center"/>
        </w:trPr>
        <w:tc>
          <w:tcPr>
            <w:tcW w:w="10432" w:type="dxa"/>
            <w:gridSpan w:val="8"/>
            <w:tcBorders>
              <w:top w:val="single" w:sz="4" w:space="0" w:color="auto"/>
              <w:left w:val="single" w:sz="4" w:space="0" w:color="auto"/>
              <w:bottom w:val="nil"/>
              <w:right w:val="single" w:sz="4" w:space="0" w:color="auto"/>
            </w:tcBorders>
            <w:shd w:val="clear" w:color="000000" w:fill="CAEDFB"/>
            <w:vAlign w:val="center"/>
            <w:hideMark/>
          </w:tcPr>
          <w:p w14:paraId="52716684" w14:textId="06FAB729" w:rsidR="00381240" w:rsidRPr="008B51EF" w:rsidRDefault="00381240" w:rsidP="00381240">
            <w:pPr>
              <w:jc w:val="center"/>
              <w:rPr>
                <w:b/>
                <w:color w:val="000000"/>
                <w:sz w:val="22"/>
                <w:szCs w:val="22"/>
              </w:rPr>
            </w:pPr>
            <w:r w:rsidRPr="008B51EF">
              <w:rPr>
                <w:b/>
                <w:color w:val="000000"/>
                <w:sz w:val="22"/>
                <w:szCs w:val="22"/>
              </w:rPr>
              <w:lastRenderedPageBreak/>
              <w:t xml:space="preserve">Table </w:t>
            </w:r>
            <w:r w:rsidR="00A268C8">
              <w:rPr>
                <w:b/>
                <w:color w:val="000000"/>
                <w:sz w:val="22"/>
                <w:szCs w:val="22"/>
              </w:rPr>
              <w:t>6</w:t>
            </w:r>
            <w:r w:rsidR="009F50E0">
              <w:rPr>
                <w:b/>
                <w:color w:val="000000"/>
                <w:sz w:val="22"/>
                <w:szCs w:val="22"/>
              </w:rPr>
              <w:t>.2</w:t>
            </w:r>
            <w:r w:rsidR="00A268C8">
              <w:rPr>
                <w:b/>
                <w:color w:val="000000"/>
                <w:sz w:val="22"/>
                <w:szCs w:val="22"/>
              </w:rPr>
              <w:t>.2</w:t>
            </w:r>
            <w:r w:rsidR="003A693B" w:rsidRPr="008B51EF">
              <w:rPr>
                <w:b/>
                <w:color w:val="000000"/>
                <w:sz w:val="22"/>
                <w:szCs w:val="22"/>
              </w:rPr>
              <w:t xml:space="preserve"> –</w:t>
            </w:r>
            <w:r w:rsidRPr="008B51EF">
              <w:rPr>
                <w:b/>
                <w:color w:val="000000"/>
                <w:sz w:val="22"/>
                <w:szCs w:val="22"/>
              </w:rPr>
              <w:t xml:space="preserve"> G</w:t>
            </w:r>
            <w:r w:rsidR="00C52FB5">
              <w:rPr>
                <w:b/>
                <w:color w:val="000000"/>
                <w:sz w:val="22"/>
                <w:szCs w:val="22"/>
              </w:rPr>
              <w:t xml:space="preserve">eorgia Power Projected </w:t>
            </w:r>
            <w:r w:rsidRPr="008B51EF">
              <w:rPr>
                <w:b/>
                <w:color w:val="000000"/>
                <w:sz w:val="22"/>
                <w:szCs w:val="22"/>
              </w:rPr>
              <w:t>Winter Capacity Need (MW)</w:t>
            </w:r>
          </w:p>
        </w:tc>
      </w:tr>
      <w:tr w:rsidR="00381240" w:rsidRPr="00A62858" w14:paraId="23DC15FC" w14:textId="77777777" w:rsidTr="008B51EF">
        <w:trPr>
          <w:trHeight w:val="432"/>
          <w:jc w:val="center"/>
        </w:trPr>
        <w:tc>
          <w:tcPr>
            <w:tcW w:w="1072" w:type="dxa"/>
            <w:tcBorders>
              <w:top w:val="single" w:sz="4" w:space="0" w:color="auto"/>
              <w:left w:val="single" w:sz="4" w:space="0" w:color="auto"/>
              <w:bottom w:val="nil"/>
              <w:right w:val="single" w:sz="4" w:space="0" w:color="auto"/>
            </w:tcBorders>
            <w:shd w:val="clear" w:color="000000" w:fill="FFFFFF"/>
            <w:vAlign w:val="center"/>
            <w:hideMark/>
          </w:tcPr>
          <w:p w14:paraId="5D7BF6CF" w14:textId="77777777" w:rsidR="00381240" w:rsidRPr="008B51EF" w:rsidRDefault="00381240" w:rsidP="00381240">
            <w:pPr>
              <w:jc w:val="center"/>
              <w:rPr>
                <w:color w:val="000000"/>
              </w:rPr>
            </w:pPr>
            <w:r w:rsidRPr="008B51EF">
              <w:rPr>
                <w:color w:val="000000"/>
              </w:rPr>
              <w:t>Year</w:t>
            </w:r>
          </w:p>
        </w:tc>
        <w:tc>
          <w:tcPr>
            <w:tcW w:w="1320" w:type="dxa"/>
            <w:tcBorders>
              <w:top w:val="single" w:sz="4" w:space="0" w:color="auto"/>
              <w:left w:val="nil"/>
              <w:bottom w:val="nil"/>
              <w:right w:val="single" w:sz="4" w:space="0" w:color="auto"/>
            </w:tcBorders>
            <w:shd w:val="clear" w:color="000000" w:fill="FFFFFF"/>
            <w:vAlign w:val="center"/>
            <w:hideMark/>
          </w:tcPr>
          <w:p w14:paraId="77B8589C" w14:textId="77777777" w:rsidR="00381240" w:rsidRPr="008B51EF" w:rsidRDefault="00381240" w:rsidP="00381240">
            <w:pPr>
              <w:jc w:val="center"/>
              <w:rPr>
                <w:color w:val="000000"/>
              </w:rPr>
            </w:pPr>
            <w:r w:rsidRPr="008B51EF">
              <w:rPr>
                <w:color w:val="000000"/>
              </w:rPr>
              <w:t>Peak Demand</w:t>
            </w:r>
          </w:p>
        </w:tc>
        <w:tc>
          <w:tcPr>
            <w:tcW w:w="1260" w:type="dxa"/>
            <w:tcBorders>
              <w:top w:val="single" w:sz="4" w:space="0" w:color="auto"/>
              <w:left w:val="nil"/>
              <w:bottom w:val="nil"/>
              <w:right w:val="single" w:sz="4" w:space="0" w:color="auto"/>
            </w:tcBorders>
            <w:shd w:val="clear" w:color="000000" w:fill="FFFFFF"/>
            <w:vAlign w:val="center"/>
            <w:hideMark/>
          </w:tcPr>
          <w:p w14:paraId="762C4AB6" w14:textId="77777777" w:rsidR="00381240" w:rsidRPr="008B51EF" w:rsidRDefault="00381240" w:rsidP="00381240">
            <w:pPr>
              <w:jc w:val="center"/>
              <w:rPr>
                <w:color w:val="000000"/>
              </w:rPr>
            </w:pPr>
            <w:r w:rsidRPr="008B51EF">
              <w:rPr>
                <w:color w:val="000000"/>
              </w:rPr>
              <w:t>Owned Generating Capacity</w:t>
            </w:r>
          </w:p>
        </w:tc>
        <w:tc>
          <w:tcPr>
            <w:tcW w:w="1260" w:type="dxa"/>
            <w:tcBorders>
              <w:top w:val="single" w:sz="4" w:space="0" w:color="auto"/>
              <w:left w:val="nil"/>
              <w:bottom w:val="nil"/>
              <w:right w:val="single" w:sz="4" w:space="0" w:color="auto"/>
            </w:tcBorders>
            <w:shd w:val="clear" w:color="000000" w:fill="FFFFFF"/>
            <w:vAlign w:val="center"/>
            <w:hideMark/>
          </w:tcPr>
          <w:p w14:paraId="1C3B13A4" w14:textId="77777777" w:rsidR="00381240" w:rsidRPr="008B51EF" w:rsidRDefault="00381240" w:rsidP="00381240">
            <w:pPr>
              <w:jc w:val="center"/>
              <w:rPr>
                <w:color w:val="000000"/>
              </w:rPr>
            </w:pPr>
            <w:r w:rsidRPr="008B51EF">
              <w:rPr>
                <w:color w:val="000000"/>
              </w:rPr>
              <w:t>Purchased Generating Capacity</w:t>
            </w:r>
          </w:p>
        </w:tc>
        <w:tc>
          <w:tcPr>
            <w:tcW w:w="1460" w:type="dxa"/>
            <w:tcBorders>
              <w:top w:val="single" w:sz="4" w:space="0" w:color="auto"/>
              <w:left w:val="nil"/>
              <w:bottom w:val="nil"/>
              <w:right w:val="single" w:sz="4" w:space="0" w:color="auto"/>
            </w:tcBorders>
            <w:shd w:val="clear" w:color="000000" w:fill="FFFFFF"/>
            <w:vAlign w:val="center"/>
            <w:hideMark/>
          </w:tcPr>
          <w:p w14:paraId="216D473B" w14:textId="77777777" w:rsidR="00381240" w:rsidRPr="008B51EF" w:rsidRDefault="00381240" w:rsidP="00381240">
            <w:pPr>
              <w:jc w:val="center"/>
              <w:rPr>
                <w:color w:val="000000"/>
              </w:rPr>
            </w:pPr>
            <w:r w:rsidRPr="008B51EF">
              <w:rPr>
                <w:color w:val="000000"/>
              </w:rPr>
              <w:t>Dispatchable DSOs</w:t>
            </w:r>
          </w:p>
        </w:tc>
        <w:tc>
          <w:tcPr>
            <w:tcW w:w="1360" w:type="dxa"/>
            <w:tcBorders>
              <w:top w:val="single" w:sz="4" w:space="0" w:color="auto"/>
              <w:left w:val="nil"/>
              <w:bottom w:val="nil"/>
              <w:right w:val="single" w:sz="4" w:space="0" w:color="auto"/>
            </w:tcBorders>
            <w:shd w:val="clear" w:color="000000" w:fill="FFFFFF"/>
            <w:vAlign w:val="center"/>
            <w:hideMark/>
          </w:tcPr>
          <w:p w14:paraId="7852754D" w14:textId="77777777" w:rsidR="00381240" w:rsidRPr="008B51EF" w:rsidRDefault="00381240" w:rsidP="00381240">
            <w:pPr>
              <w:jc w:val="center"/>
              <w:rPr>
                <w:color w:val="000000"/>
              </w:rPr>
            </w:pPr>
            <w:r w:rsidRPr="008B51EF">
              <w:rPr>
                <w:color w:val="000000"/>
              </w:rPr>
              <w:t>Total Capacity</w:t>
            </w:r>
          </w:p>
        </w:tc>
        <w:tc>
          <w:tcPr>
            <w:tcW w:w="1460" w:type="dxa"/>
            <w:tcBorders>
              <w:top w:val="single" w:sz="4" w:space="0" w:color="auto"/>
              <w:left w:val="nil"/>
              <w:bottom w:val="nil"/>
              <w:right w:val="single" w:sz="4" w:space="0" w:color="auto"/>
            </w:tcBorders>
            <w:shd w:val="clear" w:color="000000" w:fill="FFFFFF"/>
            <w:vAlign w:val="center"/>
            <w:hideMark/>
          </w:tcPr>
          <w:p w14:paraId="0E6B0722" w14:textId="77777777" w:rsidR="00381240" w:rsidRPr="008B51EF" w:rsidRDefault="00381240" w:rsidP="00381240">
            <w:pPr>
              <w:jc w:val="center"/>
              <w:rPr>
                <w:color w:val="000000"/>
              </w:rPr>
            </w:pPr>
            <w:r w:rsidRPr="008B51EF">
              <w:rPr>
                <w:color w:val="000000"/>
              </w:rPr>
              <w:t>Capacity Required to Meet GPC Target</w:t>
            </w:r>
          </w:p>
        </w:tc>
        <w:tc>
          <w:tcPr>
            <w:tcW w:w="1240" w:type="dxa"/>
            <w:tcBorders>
              <w:top w:val="single" w:sz="4" w:space="0" w:color="auto"/>
              <w:left w:val="nil"/>
              <w:bottom w:val="nil"/>
              <w:right w:val="single" w:sz="4" w:space="0" w:color="auto"/>
            </w:tcBorders>
            <w:shd w:val="clear" w:color="000000" w:fill="FFFFFF"/>
            <w:vAlign w:val="center"/>
            <w:hideMark/>
          </w:tcPr>
          <w:p w14:paraId="3AFD5614" w14:textId="77777777" w:rsidR="00381240" w:rsidRPr="008B51EF" w:rsidRDefault="00381240" w:rsidP="00381240">
            <w:pPr>
              <w:jc w:val="center"/>
              <w:rPr>
                <w:color w:val="000000"/>
              </w:rPr>
            </w:pPr>
            <w:r w:rsidRPr="008B51EF">
              <w:rPr>
                <w:color w:val="000000"/>
              </w:rPr>
              <w:t>GPC Reserve Margin</w:t>
            </w:r>
          </w:p>
        </w:tc>
      </w:tr>
      <w:tr w:rsidR="00CE5E23" w:rsidRPr="00A62858" w14:paraId="1D482207" w14:textId="77777777" w:rsidTr="008B51EF">
        <w:trPr>
          <w:trHeight w:val="144"/>
          <w:jc w:val="center"/>
        </w:trPr>
        <w:tc>
          <w:tcPr>
            <w:tcW w:w="1072" w:type="dxa"/>
            <w:tcBorders>
              <w:top w:val="nil"/>
              <w:left w:val="single" w:sz="4" w:space="0" w:color="auto"/>
              <w:bottom w:val="nil"/>
              <w:right w:val="single" w:sz="4" w:space="0" w:color="auto"/>
            </w:tcBorders>
            <w:shd w:val="clear" w:color="000000" w:fill="FFFFFF"/>
            <w:vAlign w:val="center"/>
            <w:hideMark/>
          </w:tcPr>
          <w:p w14:paraId="4D441A6B" w14:textId="77777777" w:rsidR="00381240" w:rsidRPr="008B51EF" w:rsidRDefault="00381240" w:rsidP="00381240">
            <w:pPr>
              <w:jc w:val="center"/>
              <w:rPr>
                <w:color w:val="000000"/>
              </w:rPr>
            </w:pPr>
            <w:r w:rsidRPr="008B51EF">
              <w:rPr>
                <w:color w:val="000000"/>
              </w:rPr>
              <w:t> </w:t>
            </w:r>
          </w:p>
        </w:tc>
        <w:tc>
          <w:tcPr>
            <w:tcW w:w="1320" w:type="dxa"/>
            <w:tcBorders>
              <w:top w:val="nil"/>
              <w:left w:val="nil"/>
              <w:bottom w:val="nil"/>
              <w:right w:val="single" w:sz="4" w:space="0" w:color="auto"/>
            </w:tcBorders>
            <w:shd w:val="clear" w:color="000000" w:fill="FFFFFF"/>
            <w:hideMark/>
          </w:tcPr>
          <w:p w14:paraId="48B66BB7" w14:textId="77777777" w:rsidR="00381240" w:rsidRPr="008B51EF" w:rsidRDefault="00381240" w:rsidP="00381240">
            <w:pPr>
              <w:jc w:val="center"/>
              <w:rPr>
                <w:color w:val="000000"/>
              </w:rPr>
            </w:pPr>
            <w:r w:rsidRPr="008B51EF">
              <w:rPr>
                <w:color w:val="000000"/>
              </w:rPr>
              <w:t>(MW)</w:t>
            </w:r>
          </w:p>
        </w:tc>
        <w:tc>
          <w:tcPr>
            <w:tcW w:w="1260" w:type="dxa"/>
            <w:tcBorders>
              <w:top w:val="nil"/>
              <w:left w:val="nil"/>
              <w:bottom w:val="nil"/>
              <w:right w:val="single" w:sz="4" w:space="0" w:color="auto"/>
            </w:tcBorders>
            <w:shd w:val="clear" w:color="000000" w:fill="FFFFFF"/>
            <w:hideMark/>
          </w:tcPr>
          <w:p w14:paraId="194F1417" w14:textId="77777777" w:rsidR="00381240" w:rsidRPr="008B51EF" w:rsidRDefault="00381240" w:rsidP="00381240">
            <w:pPr>
              <w:jc w:val="center"/>
              <w:rPr>
                <w:color w:val="000000"/>
              </w:rPr>
            </w:pPr>
            <w:r w:rsidRPr="008B51EF">
              <w:rPr>
                <w:color w:val="000000"/>
              </w:rPr>
              <w:t>(MW)</w:t>
            </w:r>
          </w:p>
        </w:tc>
        <w:tc>
          <w:tcPr>
            <w:tcW w:w="1260" w:type="dxa"/>
            <w:tcBorders>
              <w:top w:val="nil"/>
              <w:left w:val="nil"/>
              <w:bottom w:val="nil"/>
              <w:right w:val="single" w:sz="4" w:space="0" w:color="auto"/>
            </w:tcBorders>
            <w:shd w:val="clear" w:color="000000" w:fill="FFFFFF"/>
            <w:hideMark/>
          </w:tcPr>
          <w:p w14:paraId="09C26A36" w14:textId="77777777" w:rsidR="00381240" w:rsidRPr="008B51EF" w:rsidRDefault="00381240" w:rsidP="00381240">
            <w:pPr>
              <w:jc w:val="center"/>
              <w:rPr>
                <w:color w:val="000000"/>
              </w:rPr>
            </w:pPr>
            <w:r w:rsidRPr="008B51EF">
              <w:rPr>
                <w:color w:val="000000"/>
              </w:rPr>
              <w:t>(MW)</w:t>
            </w:r>
          </w:p>
        </w:tc>
        <w:tc>
          <w:tcPr>
            <w:tcW w:w="1460" w:type="dxa"/>
            <w:tcBorders>
              <w:top w:val="nil"/>
              <w:left w:val="nil"/>
              <w:bottom w:val="nil"/>
              <w:right w:val="single" w:sz="4" w:space="0" w:color="auto"/>
            </w:tcBorders>
            <w:shd w:val="clear" w:color="000000" w:fill="FFFFFF"/>
            <w:hideMark/>
          </w:tcPr>
          <w:p w14:paraId="02714168" w14:textId="77777777" w:rsidR="00381240" w:rsidRPr="008B51EF" w:rsidRDefault="00381240" w:rsidP="00381240">
            <w:pPr>
              <w:jc w:val="center"/>
              <w:rPr>
                <w:color w:val="000000"/>
              </w:rPr>
            </w:pPr>
            <w:r w:rsidRPr="008B51EF">
              <w:rPr>
                <w:color w:val="000000"/>
              </w:rPr>
              <w:t>(MW)</w:t>
            </w:r>
          </w:p>
        </w:tc>
        <w:tc>
          <w:tcPr>
            <w:tcW w:w="1360" w:type="dxa"/>
            <w:tcBorders>
              <w:top w:val="nil"/>
              <w:left w:val="nil"/>
              <w:bottom w:val="nil"/>
              <w:right w:val="single" w:sz="4" w:space="0" w:color="auto"/>
            </w:tcBorders>
            <w:shd w:val="clear" w:color="000000" w:fill="FFFFFF"/>
            <w:hideMark/>
          </w:tcPr>
          <w:p w14:paraId="4DE6F791" w14:textId="77777777" w:rsidR="00381240" w:rsidRPr="008B51EF" w:rsidRDefault="00381240" w:rsidP="00381240">
            <w:pPr>
              <w:jc w:val="center"/>
              <w:rPr>
                <w:color w:val="000000"/>
              </w:rPr>
            </w:pPr>
            <w:r w:rsidRPr="008B51EF">
              <w:rPr>
                <w:color w:val="000000"/>
              </w:rPr>
              <w:t>(MW)</w:t>
            </w:r>
          </w:p>
        </w:tc>
        <w:tc>
          <w:tcPr>
            <w:tcW w:w="1460" w:type="dxa"/>
            <w:tcBorders>
              <w:top w:val="nil"/>
              <w:left w:val="nil"/>
              <w:bottom w:val="nil"/>
              <w:right w:val="single" w:sz="4" w:space="0" w:color="auto"/>
            </w:tcBorders>
            <w:shd w:val="clear" w:color="000000" w:fill="FFFFFF"/>
            <w:hideMark/>
          </w:tcPr>
          <w:p w14:paraId="30B445C7" w14:textId="77777777" w:rsidR="00381240" w:rsidRPr="008B51EF" w:rsidRDefault="00381240" w:rsidP="00381240">
            <w:pPr>
              <w:jc w:val="center"/>
              <w:rPr>
                <w:color w:val="000000"/>
              </w:rPr>
            </w:pPr>
            <w:r w:rsidRPr="008B51EF">
              <w:rPr>
                <w:color w:val="000000"/>
              </w:rPr>
              <w:t>(MW)</w:t>
            </w:r>
          </w:p>
        </w:tc>
        <w:tc>
          <w:tcPr>
            <w:tcW w:w="1240" w:type="dxa"/>
            <w:tcBorders>
              <w:top w:val="nil"/>
              <w:left w:val="nil"/>
              <w:bottom w:val="nil"/>
              <w:right w:val="single" w:sz="4" w:space="0" w:color="auto"/>
            </w:tcBorders>
            <w:shd w:val="clear" w:color="000000" w:fill="FFFFFF"/>
            <w:hideMark/>
          </w:tcPr>
          <w:p w14:paraId="0EE5B472" w14:textId="77777777" w:rsidR="00381240" w:rsidRPr="008B51EF" w:rsidRDefault="00381240" w:rsidP="00381240">
            <w:pPr>
              <w:jc w:val="center"/>
              <w:rPr>
                <w:color w:val="000000"/>
              </w:rPr>
            </w:pPr>
            <w:r w:rsidRPr="008B51EF">
              <w:rPr>
                <w:color w:val="000000"/>
              </w:rPr>
              <w:t>(%)</w:t>
            </w:r>
          </w:p>
        </w:tc>
      </w:tr>
      <w:tr w:rsidR="00381240" w:rsidRPr="00A62858" w14:paraId="6253AF03" w14:textId="77777777" w:rsidTr="008B51EF">
        <w:trPr>
          <w:trHeight w:val="144"/>
          <w:jc w:val="center"/>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734E2B40" w14:textId="77777777" w:rsidR="00381240" w:rsidRPr="008B51EF" w:rsidRDefault="00381240" w:rsidP="00381240">
            <w:pPr>
              <w:jc w:val="center"/>
              <w:rPr>
                <w:color w:val="000000"/>
              </w:rPr>
            </w:pPr>
            <w:r w:rsidRPr="008B51EF">
              <w:rPr>
                <w:color w:val="000000"/>
              </w:rPr>
              <w:t> </w:t>
            </w:r>
          </w:p>
        </w:tc>
        <w:tc>
          <w:tcPr>
            <w:tcW w:w="1320" w:type="dxa"/>
            <w:tcBorders>
              <w:top w:val="nil"/>
              <w:left w:val="nil"/>
              <w:bottom w:val="single" w:sz="4" w:space="0" w:color="auto"/>
              <w:right w:val="single" w:sz="4" w:space="0" w:color="auto"/>
            </w:tcBorders>
            <w:shd w:val="clear" w:color="000000" w:fill="FFFFFF"/>
            <w:noWrap/>
            <w:vAlign w:val="bottom"/>
            <w:hideMark/>
          </w:tcPr>
          <w:p w14:paraId="18DE25BF" w14:textId="77777777" w:rsidR="00381240" w:rsidRPr="008B51EF" w:rsidRDefault="00381240" w:rsidP="00381240">
            <w:pPr>
              <w:jc w:val="center"/>
              <w:rPr>
                <w:color w:val="000000"/>
              </w:rPr>
            </w:pPr>
            <w:r w:rsidRPr="008B51EF">
              <w:rPr>
                <w:color w:val="000000"/>
              </w:rPr>
              <w:t>(A)</w:t>
            </w:r>
          </w:p>
        </w:tc>
        <w:tc>
          <w:tcPr>
            <w:tcW w:w="1260" w:type="dxa"/>
            <w:tcBorders>
              <w:top w:val="nil"/>
              <w:left w:val="nil"/>
              <w:bottom w:val="single" w:sz="4" w:space="0" w:color="auto"/>
              <w:right w:val="single" w:sz="4" w:space="0" w:color="auto"/>
            </w:tcBorders>
            <w:shd w:val="clear" w:color="000000" w:fill="FFFFFF"/>
            <w:noWrap/>
            <w:vAlign w:val="bottom"/>
            <w:hideMark/>
          </w:tcPr>
          <w:p w14:paraId="1D5ACEA8" w14:textId="77777777" w:rsidR="00381240" w:rsidRPr="008B51EF" w:rsidRDefault="00381240" w:rsidP="00381240">
            <w:pPr>
              <w:jc w:val="center"/>
              <w:rPr>
                <w:color w:val="000000"/>
              </w:rPr>
            </w:pPr>
            <w:r w:rsidRPr="008B51EF">
              <w:rPr>
                <w:color w:val="000000"/>
              </w:rPr>
              <w:t>(B)</w:t>
            </w:r>
          </w:p>
        </w:tc>
        <w:tc>
          <w:tcPr>
            <w:tcW w:w="1260" w:type="dxa"/>
            <w:tcBorders>
              <w:top w:val="nil"/>
              <w:left w:val="nil"/>
              <w:bottom w:val="single" w:sz="4" w:space="0" w:color="auto"/>
              <w:right w:val="single" w:sz="4" w:space="0" w:color="auto"/>
            </w:tcBorders>
            <w:shd w:val="clear" w:color="000000" w:fill="FFFFFF"/>
            <w:noWrap/>
            <w:vAlign w:val="bottom"/>
            <w:hideMark/>
          </w:tcPr>
          <w:p w14:paraId="3FB6B456" w14:textId="31A44A58" w:rsidR="00381240" w:rsidRPr="00783DA1" w:rsidRDefault="00381240" w:rsidP="00381240">
            <w:pPr>
              <w:jc w:val="center"/>
              <w:rPr>
                <w:color w:val="000000"/>
              </w:rPr>
            </w:pPr>
            <w:r w:rsidRPr="008B51EF">
              <w:rPr>
                <w:color w:val="000000"/>
              </w:rPr>
              <w:t>(</w:t>
            </w:r>
            <w:proofErr w:type="spellStart"/>
            <w:r w:rsidR="00A62858">
              <w:rPr>
                <w:color w:val="000000"/>
              </w:rPr>
              <w:t>B,</w:t>
            </w:r>
            <w:r w:rsidRPr="00783DA1">
              <w:rPr>
                <w:color w:val="000000"/>
              </w:rPr>
              <w:t>C</w:t>
            </w:r>
            <w:proofErr w:type="spellEnd"/>
            <w:r w:rsidRPr="00783DA1">
              <w:rPr>
                <w:color w:val="000000"/>
              </w:rPr>
              <w:t>)</w:t>
            </w:r>
          </w:p>
        </w:tc>
        <w:tc>
          <w:tcPr>
            <w:tcW w:w="1460" w:type="dxa"/>
            <w:tcBorders>
              <w:top w:val="nil"/>
              <w:left w:val="nil"/>
              <w:bottom w:val="single" w:sz="4" w:space="0" w:color="auto"/>
              <w:right w:val="single" w:sz="4" w:space="0" w:color="auto"/>
            </w:tcBorders>
            <w:shd w:val="clear" w:color="000000" w:fill="FFFFFF"/>
            <w:noWrap/>
            <w:vAlign w:val="bottom"/>
            <w:hideMark/>
          </w:tcPr>
          <w:p w14:paraId="5F310EA6" w14:textId="784F20EB" w:rsidR="00381240" w:rsidRPr="00783DA1" w:rsidRDefault="00381240" w:rsidP="00381240">
            <w:pPr>
              <w:jc w:val="center"/>
              <w:rPr>
                <w:color w:val="000000"/>
              </w:rPr>
            </w:pPr>
            <w:r w:rsidRPr="00783DA1">
              <w:rPr>
                <w:color w:val="000000"/>
              </w:rPr>
              <w:t>(</w:t>
            </w:r>
            <w:r w:rsidR="00A62858">
              <w:rPr>
                <w:color w:val="000000"/>
              </w:rPr>
              <w:t>B</w:t>
            </w:r>
            <w:r w:rsidRPr="00783DA1">
              <w:rPr>
                <w:color w:val="000000"/>
              </w:rPr>
              <w:t>)</w:t>
            </w:r>
          </w:p>
        </w:tc>
        <w:tc>
          <w:tcPr>
            <w:tcW w:w="1360" w:type="dxa"/>
            <w:tcBorders>
              <w:top w:val="nil"/>
              <w:left w:val="nil"/>
              <w:bottom w:val="single" w:sz="4" w:space="0" w:color="auto"/>
              <w:right w:val="single" w:sz="4" w:space="0" w:color="auto"/>
            </w:tcBorders>
            <w:shd w:val="clear" w:color="000000" w:fill="FFFFFF"/>
            <w:noWrap/>
            <w:vAlign w:val="bottom"/>
            <w:hideMark/>
          </w:tcPr>
          <w:p w14:paraId="780BD41D" w14:textId="0EAEC0F3" w:rsidR="00381240" w:rsidRPr="00783DA1" w:rsidRDefault="00A62858" w:rsidP="00381240">
            <w:pPr>
              <w:jc w:val="center"/>
              <w:rPr>
                <w:color w:val="000000"/>
              </w:rPr>
            </w:pPr>
            <w:r>
              <w:rPr>
                <w:color w:val="000000"/>
              </w:rPr>
              <w:t>(B)</w:t>
            </w:r>
          </w:p>
        </w:tc>
        <w:tc>
          <w:tcPr>
            <w:tcW w:w="1460" w:type="dxa"/>
            <w:tcBorders>
              <w:top w:val="nil"/>
              <w:left w:val="nil"/>
              <w:bottom w:val="single" w:sz="4" w:space="0" w:color="auto"/>
              <w:right w:val="single" w:sz="4" w:space="0" w:color="auto"/>
            </w:tcBorders>
            <w:shd w:val="clear" w:color="000000" w:fill="FFFFFF"/>
            <w:noWrap/>
            <w:vAlign w:val="bottom"/>
            <w:hideMark/>
          </w:tcPr>
          <w:p w14:paraId="78D54641" w14:textId="77777777" w:rsidR="00381240" w:rsidRPr="00783DA1" w:rsidRDefault="00381240" w:rsidP="00381240">
            <w:pPr>
              <w:jc w:val="center"/>
              <w:rPr>
                <w:color w:val="000000"/>
              </w:rPr>
            </w:pPr>
            <w:r w:rsidRPr="00783DA1">
              <w:rPr>
                <w:color w:val="000000"/>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8F53735" w14:textId="612CDB34" w:rsidR="00381240" w:rsidRPr="00783DA1" w:rsidRDefault="00381240" w:rsidP="00381240">
            <w:pPr>
              <w:jc w:val="center"/>
              <w:rPr>
                <w:color w:val="000000"/>
              </w:rPr>
            </w:pPr>
            <w:r w:rsidRPr="00783DA1">
              <w:rPr>
                <w:color w:val="000000"/>
              </w:rPr>
              <w:t>(</w:t>
            </w:r>
            <w:r w:rsidR="00A62858">
              <w:rPr>
                <w:color w:val="000000"/>
              </w:rPr>
              <w:t>D</w:t>
            </w:r>
            <w:r w:rsidRPr="00783DA1">
              <w:rPr>
                <w:color w:val="000000"/>
              </w:rPr>
              <w:t>)</w:t>
            </w:r>
          </w:p>
        </w:tc>
      </w:tr>
      <w:tr w:rsidR="00381240" w:rsidRPr="00A62858" w14:paraId="373A4BF8" w14:textId="77777777" w:rsidTr="008B51EF">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3F6E0039" w14:textId="3C001E0D" w:rsidR="00381240" w:rsidRPr="00783DA1" w:rsidRDefault="00381240" w:rsidP="00381240">
            <w:pPr>
              <w:jc w:val="center"/>
              <w:rPr>
                <w:color w:val="000000"/>
              </w:rPr>
            </w:pPr>
            <w:r w:rsidRPr="00783DA1">
              <w:rPr>
                <w:color w:val="000000"/>
              </w:rPr>
              <w:t>2024/2025</w:t>
            </w:r>
          </w:p>
        </w:tc>
        <w:tc>
          <w:tcPr>
            <w:tcW w:w="1320" w:type="dxa"/>
            <w:tcBorders>
              <w:top w:val="nil"/>
              <w:left w:val="nil"/>
              <w:bottom w:val="single" w:sz="4" w:space="0" w:color="auto"/>
              <w:right w:val="single" w:sz="4" w:space="0" w:color="auto"/>
            </w:tcBorders>
            <w:shd w:val="clear" w:color="auto" w:fill="auto"/>
            <w:noWrap/>
            <w:vAlign w:val="bottom"/>
            <w:hideMark/>
          </w:tcPr>
          <w:p w14:paraId="7A0B6764" w14:textId="6B8D9A0F" w:rsidR="00381240" w:rsidRPr="00783DA1" w:rsidRDefault="00381240" w:rsidP="00381240">
            <w:pPr>
              <w:jc w:val="center"/>
            </w:pPr>
            <w:r>
              <w:rPr>
                <w:color w:val="000000"/>
              </w:rPr>
              <w:t>16,236</w:t>
            </w:r>
          </w:p>
        </w:tc>
        <w:tc>
          <w:tcPr>
            <w:tcW w:w="1260" w:type="dxa"/>
            <w:tcBorders>
              <w:top w:val="nil"/>
              <w:left w:val="nil"/>
              <w:bottom w:val="single" w:sz="4" w:space="0" w:color="auto"/>
              <w:right w:val="single" w:sz="4" w:space="0" w:color="auto"/>
            </w:tcBorders>
            <w:shd w:val="clear" w:color="000000" w:fill="FFFFFF"/>
            <w:noWrap/>
            <w:vAlign w:val="bottom"/>
            <w:hideMark/>
          </w:tcPr>
          <w:p w14:paraId="228A5B9E" w14:textId="02AE567E" w:rsidR="00381240" w:rsidRPr="00783DA1" w:rsidRDefault="00381240" w:rsidP="00381240">
            <w:pPr>
              <w:jc w:val="center"/>
            </w:pPr>
            <w:r>
              <w:rPr>
                <w:color w:val="000000"/>
              </w:rPr>
              <w:t>1</w:t>
            </w:r>
            <w:r w:rsidR="000907A9">
              <w:rPr>
                <w:color w:val="000000"/>
              </w:rPr>
              <w:t>4</w:t>
            </w:r>
            <w:r>
              <w:rPr>
                <w:color w:val="000000"/>
              </w:rPr>
              <w:t>,</w:t>
            </w:r>
            <w:r w:rsidR="000907A9">
              <w:rPr>
                <w:color w:val="000000"/>
              </w:rPr>
              <w:t>306</w:t>
            </w:r>
          </w:p>
        </w:tc>
        <w:tc>
          <w:tcPr>
            <w:tcW w:w="1260" w:type="dxa"/>
            <w:tcBorders>
              <w:top w:val="nil"/>
              <w:left w:val="nil"/>
              <w:bottom w:val="single" w:sz="4" w:space="0" w:color="auto"/>
              <w:right w:val="single" w:sz="4" w:space="0" w:color="auto"/>
            </w:tcBorders>
            <w:shd w:val="clear" w:color="000000" w:fill="FFFFFF"/>
            <w:noWrap/>
            <w:vAlign w:val="bottom"/>
            <w:hideMark/>
          </w:tcPr>
          <w:p w14:paraId="30E992A4" w14:textId="260ABB46" w:rsidR="00381240" w:rsidRPr="00783DA1" w:rsidRDefault="00A00EE8" w:rsidP="00381240">
            <w:pPr>
              <w:jc w:val="center"/>
            </w:pPr>
            <w:r>
              <w:rPr>
                <w:color w:val="000000"/>
              </w:rPr>
              <w:t>5</w:t>
            </w:r>
            <w:r w:rsidR="00381240">
              <w:rPr>
                <w:color w:val="000000"/>
              </w:rPr>
              <w:t>,</w:t>
            </w:r>
            <w:r>
              <w:rPr>
                <w:color w:val="000000"/>
              </w:rPr>
              <w:t>913</w:t>
            </w:r>
          </w:p>
        </w:tc>
        <w:tc>
          <w:tcPr>
            <w:tcW w:w="1460" w:type="dxa"/>
            <w:tcBorders>
              <w:top w:val="nil"/>
              <w:left w:val="nil"/>
              <w:bottom w:val="single" w:sz="4" w:space="0" w:color="auto"/>
              <w:right w:val="single" w:sz="4" w:space="0" w:color="auto"/>
            </w:tcBorders>
            <w:shd w:val="clear" w:color="000000" w:fill="FFFFFF"/>
            <w:noWrap/>
            <w:vAlign w:val="bottom"/>
            <w:hideMark/>
          </w:tcPr>
          <w:p w14:paraId="0BAB7A0B" w14:textId="04BF418D" w:rsidR="00381240" w:rsidRPr="00783DA1" w:rsidRDefault="00381240" w:rsidP="00381240">
            <w:pPr>
              <w:jc w:val="center"/>
            </w:pPr>
            <w:r>
              <w:rPr>
                <w:color w:val="000000"/>
              </w:rPr>
              <w:t>649</w:t>
            </w:r>
          </w:p>
        </w:tc>
        <w:tc>
          <w:tcPr>
            <w:tcW w:w="1360" w:type="dxa"/>
            <w:tcBorders>
              <w:top w:val="nil"/>
              <w:left w:val="nil"/>
              <w:bottom w:val="single" w:sz="4" w:space="0" w:color="auto"/>
              <w:right w:val="single" w:sz="4" w:space="0" w:color="auto"/>
            </w:tcBorders>
            <w:shd w:val="clear" w:color="000000" w:fill="FFFFFF"/>
            <w:noWrap/>
            <w:vAlign w:val="bottom"/>
            <w:hideMark/>
          </w:tcPr>
          <w:p w14:paraId="4C75B104" w14:textId="38427EE3" w:rsidR="00381240" w:rsidRPr="00783DA1" w:rsidRDefault="00381240" w:rsidP="00381240">
            <w:pPr>
              <w:jc w:val="center"/>
            </w:pPr>
            <w:r>
              <w:rPr>
                <w:color w:val="000000"/>
              </w:rPr>
              <w:t>20,868</w:t>
            </w:r>
          </w:p>
        </w:tc>
        <w:tc>
          <w:tcPr>
            <w:tcW w:w="1460" w:type="dxa"/>
            <w:tcBorders>
              <w:top w:val="nil"/>
              <w:left w:val="nil"/>
              <w:bottom w:val="single" w:sz="4" w:space="0" w:color="auto"/>
              <w:right w:val="single" w:sz="4" w:space="0" w:color="auto"/>
            </w:tcBorders>
            <w:shd w:val="clear" w:color="000000" w:fill="FFFFFF"/>
            <w:noWrap/>
            <w:vAlign w:val="bottom"/>
            <w:hideMark/>
          </w:tcPr>
          <w:p w14:paraId="5A14C90F" w14:textId="6A0A9AF0" w:rsidR="00381240" w:rsidRPr="00783DA1" w:rsidRDefault="00381240" w:rsidP="00381240">
            <w:pPr>
              <w:jc w:val="center"/>
              <w:rPr>
                <w:color w:val="000000"/>
              </w:rPr>
            </w:pPr>
            <w:r w:rsidRPr="00783DA1">
              <w:rPr>
                <w:color w:val="000000"/>
              </w:rPr>
              <w:t>(637)</w:t>
            </w:r>
          </w:p>
        </w:tc>
        <w:tc>
          <w:tcPr>
            <w:tcW w:w="1240" w:type="dxa"/>
            <w:tcBorders>
              <w:top w:val="nil"/>
              <w:left w:val="nil"/>
              <w:bottom w:val="single" w:sz="4" w:space="0" w:color="auto"/>
              <w:right w:val="single" w:sz="4" w:space="0" w:color="auto"/>
            </w:tcBorders>
            <w:shd w:val="clear" w:color="000000" w:fill="FFFFFF"/>
            <w:noWrap/>
            <w:vAlign w:val="bottom"/>
            <w:hideMark/>
          </w:tcPr>
          <w:p w14:paraId="6A721FC9" w14:textId="33E6C62D" w:rsidR="00381240" w:rsidRPr="00783DA1" w:rsidRDefault="00381240" w:rsidP="00381240">
            <w:pPr>
              <w:jc w:val="center"/>
              <w:rPr>
                <w:color w:val="000000"/>
              </w:rPr>
            </w:pPr>
            <w:r w:rsidRPr="00783DA1">
              <w:rPr>
                <w:color w:val="000000"/>
              </w:rPr>
              <w:t>29%</w:t>
            </w:r>
          </w:p>
        </w:tc>
      </w:tr>
      <w:tr w:rsidR="00381240" w:rsidRPr="00A62858" w14:paraId="4A24E950" w14:textId="77777777" w:rsidTr="008B51EF">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52813CCA" w14:textId="374D6FC9" w:rsidR="00381240" w:rsidRPr="00783DA1" w:rsidRDefault="00381240" w:rsidP="00381240">
            <w:pPr>
              <w:jc w:val="center"/>
              <w:rPr>
                <w:color w:val="000000"/>
              </w:rPr>
            </w:pPr>
            <w:r w:rsidRPr="00783DA1">
              <w:rPr>
                <w:color w:val="000000"/>
              </w:rPr>
              <w:t>2025/2026</w:t>
            </w:r>
          </w:p>
        </w:tc>
        <w:tc>
          <w:tcPr>
            <w:tcW w:w="1320" w:type="dxa"/>
            <w:tcBorders>
              <w:top w:val="nil"/>
              <w:left w:val="nil"/>
              <w:bottom w:val="single" w:sz="4" w:space="0" w:color="auto"/>
              <w:right w:val="single" w:sz="4" w:space="0" w:color="auto"/>
            </w:tcBorders>
            <w:shd w:val="clear" w:color="auto" w:fill="auto"/>
            <w:noWrap/>
            <w:vAlign w:val="bottom"/>
            <w:hideMark/>
          </w:tcPr>
          <w:p w14:paraId="4305E71A" w14:textId="30C637C7" w:rsidR="00381240" w:rsidRPr="00783DA1" w:rsidRDefault="00381240" w:rsidP="00381240">
            <w:pPr>
              <w:jc w:val="center"/>
            </w:pPr>
            <w:r>
              <w:rPr>
                <w:color w:val="000000"/>
              </w:rPr>
              <w:t>16,750</w:t>
            </w:r>
          </w:p>
        </w:tc>
        <w:tc>
          <w:tcPr>
            <w:tcW w:w="1260" w:type="dxa"/>
            <w:tcBorders>
              <w:top w:val="nil"/>
              <w:left w:val="nil"/>
              <w:bottom w:val="single" w:sz="4" w:space="0" w:color="auto"/>
              <w:right w:val="single" w:sz="4" w:space="0" w:color="auto"/>
            </w:tcBorders>
            <w:shd w:val="clear" w:color="000000" w:fill="FFFFFF"/>
            <w:noWrap/>
            <w:vAlign w:val="center"/>
            <w:hideMark/>
          </w:tcPr>
          <w:p w14:paraId="547FA27E" w14:textId="7AF4ADE8" w:rsidR="00381240" w:rsidRPr="00783DA1" w:rsidRDefault="00381240" w:rsidP="00381240">
            <w:pPr>
              <w:jc w:val="center"/>
            </w:pPr>
            <w:r>
              <w:rPr>
                <w:color w:val="4D4D4D"/>
              </w:rPr>
              <w:t>15,</w:t>
            </w:r>
            <w:r w:rsidR="000907A9">
              <w:rPr>
                <w:color w:val="4D4D4D"/>
              </w:rPr>
              <w:t>164</w:t>
            </w:r>
          </w:p>
        </w:tc>
        <w:tc>
          <w:tcPr>
            <w:tcW w:w="1260" w:type="dxa"/>
            <w:tcBorders>
              <w:top w:val="nil"/>
              <w:left w:val="nil"/>
              <w:bottom w:val="single" w:sz="4" w:space="0" w:color="auto"/>
              <w:right w:val="single" w:sz="4" w:space="0" w:color="auto"/>
            </w:tcBorders>
            <w:shd w:val="clear" w:color="000000" w:fill="FFFFFF"/>
            <w:noWrap/>
            <w:vAlign w:val="center"/>
            <w:hideMark/>
          </w:tcPr>
          <w:p w14:paraId="3F8991A4" w14:textId="451FB4C0" w:rsidR="00381240" w:rsidRPr="00783DA1" w:rsidRDefault="00A00EE8" w:rsidP="00381240">
            <w:pPr>
              <w:jc w:val="center"/>
            </w:pPr>
            <w:r>
              <w:rPr>
                <w:color w:val="4D4D4D"/>
              </w:rPr>
              <w:t>6</w:t>
            </w:r>
            <w:r w:rsidR="00381240">
              <w:rPr>
                <w:color w:val="4D4D4D"/>
              </w:rPr>
              <w:t>,</w:t>
            </w:r>
            <w:r>
              <w:rPr>
                <w:color w:val="4D4D4D"/>
              </w:rPr>
              <w:t>012</w:t>
            </w:r>
          </w:p>
        </w:tc>
        <w:tc>
          <w:tcPr>
            <w:tcW w:w="1460" w:type="dxa"/>
            <w:tcBorders>
              <w:top w:val="nil"/>
              <w:left w:val="nil"/>
              <w:bottom w:val="single" w:sz="4" w:space="0" w:color="auto"/>
              <w:right w:val="single" w:sz="4" w:space="0" w:color="auto"/>
            </w:tcBorders>
            <w:shd w:val="clear" w:color="000000" w:fill="FFFFFF"/>
            <w:noWrap/>
            <w:vAlign w:val="center"/>
            <w:hideMark/>
          </w:tcPr>
          <w:p w14:paraId="1BA52090" w14:textId="6C660755" w:rsidR="00381240" w:rsidRPr="00783DA1" w:rsidRDefault="00381240" w:rsidP="00381240">
            <w:pPr>
              <w:jc w:val="center"/>
            </w:pPr>
            <w:r>
              <w:rPr>
                <w:color w:val="4D4D4D"/>
              </w:rPr>
              <w:t>652</w:t>
            </w:r>
          </w:p>
        </w:tc>
        <w:tc>
          <w:tcPr>
            <w:tcW w:w="1360" w:type="dxa"/>
            <w:tcBorders>
              <w:top w:val="nil"/>
              <w:left w:val="nil"/>
              <w:bottom w:val="single" w:sz="4" w:space="0" w:color="auto"/>
              <w:right w:val="single" w:sz="4" w:space="0" w:color="auto"/>
            </w:tcBorders>
            <w:shd w:val="clear" w:color="000000" w:fill="FFFFFF"/>
            <w:noWrap/>
            <w:vAlign w:val="bottom"/>
            <w:hideMark/>
          </w:tcPr>
          <w:p w14:paraId="28DF01F1" w14:textId="21344310" w:rsidR="00381240" w:rsidRPr="00783DA1" w:rsidRDefault="00381240" w:rsidP="00381240">
            <w:pPr>
              <w:jc w:val="center"/>
            </w:pPr>
            <w:r>
              <w:rPr>
                <w:color w:val="000000"/>
              </w:rPr>
              <w:t>21,829</w:t>
            </w:r>
          </w:p>
        </w:tc>
        <w:tc>
          <w:tcPr>
            <w:tcW w:w="1460" w:type="dxa"/>
            <w:tcBorders>
              <w:top w:val="nil"/>
              <w:left w:val="nil"/>
              <w:bottom w:val="single" w:sz="4" w:space="0" w:color="auto"/>
              <w:right w:val="single" w:sz="4" w:space="0" w:color="auto"/>
            </w:tcBorders>
            <w:shd w:val="clear" w:color="000000" w:fill="FFFFFF"/>
            <w:noWrap/>
            <w:vAlign w:val="bottom"/>
            <w:hideMark/>
          </w:tcPr>
          <w:p w14:paraId="0E5A34EC" w14:textId="6CFD87F7" w:rsidR="00381240" w:rsidRPr="00CF0BCE" w:rsidRDefault="00381240" w:rsidP="00381240">
            <w:pPr>
              <w:jc w:val="center"/>
              <w:rPr>
                <w:color w:val="000000"/>
              </w:rPr>
            </w:pPr>
            <w:r w:rsidRPr="00CF0BCE">
              <w:rPr>
                <w:color w:val="000000"/>
              </w:rPr>
              <w:t>(</w:t>
            </w:r>
            <w:r w:rsidR="00A7351B">
              <w:rPr>
                <w:color w:val="000000"/>
              </w:rPr>
              <w:t>957</w:t>
            </w:r>
            <w:r w:rsidRPr="00CF0BCE">
              <w:rPr>
                <w:color w:val="000000"/>
              </w:rPr>
              <w:t>)</w:t>
            </w:r>
          </w:p>
        </w:tc>
        <w:tc>
          <w:tcPr>
            <w:tcW w:w="1240" w:type="dxa"/>
            <w:tcBorders>
              <w:top w:val="nil"/>
              <w:left w:val="nil"/>
              <w:bottom w:val="single" w:sz="4" w:space="0" w:color="auto"/>
              <w:right w:val="single" w:sz="4" w:space="0" w:color="auto"/>
            </w:tcBorders>
            <w:shd w:val="clear" w:color="000000" w:fill="FFFFFF"/>
            <w:noWrap/>
            <w:vAlign w:val="bottom"/>
            <w:hideMark/>
          </w:tcPr>
          <w:p w14:paraId="35AD0851" w14:textId="5555EFB0" w:rsidR="00381240" w:rsidRPr="00CF0BCE" w:rsidRDefault="00381240" w:rsidP="00381240">
            <w:pPr>
              <w:jc w:val="center"/>
              <w:rPr>
                <w:color w:val="000000"/>
              </w:rPr>
            </w:pPr>
            <w:r w:rsidRPr="00CF0BCE">
              <w:rPr>
                <w:color w:val="000000"/>
              </w:rPr>
              <w:t>30%</w:t>
            </w:r>
          </w:p>
        </w:tc>
      </w:tr>
      <w:tr w:rsidR="00381240" w:rsidRPr="00A62858" w14:paraId="3F861085" w14:textId="77777777" w:rsidTr="008B51EF">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05176C65" w14:textId="5CD90E93" w:rsidR="00381240" w:rsidRPr="00CF0BCE" w:rsidRDefault="00381240" w:rsidP="00381240">
            <w:pPr>
              <w:jc w:val="center"/>
              <w:rPr>
                <w:color w:val="000000"/>
              </w:rPr>
            </w:pPr>
            <w:r w:rsidRPr="00CF0BCE">
              <w:rPr>
                <w:color w:val="000000"/>
              </w:rPr>
              <w:t>2026/2027</w:t>
            </w:r>
          </w:p>
        </w:tc>
        <w:tc>
          <w:tcPr>
            <w:tcW w:w="1320" w:type="dxa"/>
            <w:tcBorders>
              <w:top w:val="nil"/>
              <w:left w:val="nil"/>
              <w:bottom w:val="single" w:sz="4" w:space="0" w:color="auto"/>
              <w:right w:val="single" w:sz="4" w:space="0" w:color="auto"/>
            </w:tcBorders>
            <w:shd w:val="clear" w:color="auto" w:fill="auto"/>
            <w:noWrap/>
            <w:vAlign w:val="bottom"/>
            <w:hideMark/>
          </w:tcPr>
          <w:p w14:paraId="6EA6195C" w14:textId="0E10FCDD" w:rsidR="00381240" w:rsidRPr="00CF0BCE" w:rsidRDefault="00381240" w:rsidP="00381240">
            <w:pPr>
              <w:jc w:val="center"/>
            </w:pPr>
            <w:r>
              <w:rPr>
                <w:color w:val="000000"/>
              </w:rPr>
              <w:t>17,808</w:t>
            </w:r>
          </w:p>
        </w:tc>
        <w:tc>
          <w:tcPr>
            <w:tcW w:w="1260" w:type="dxa"/>
            <w:tcBorders>
              <w:top w:val="nil"/>
              <w:left w:val="nil"/>
              <w:bottom w:val="single" w:sz="4" w:space="0" w:color="auto"/>
              <w:right w:val="single" w:sz="4" w:space="0" w:color="auto"/>
            </w:tcBorders>
            <w:shd w:val="clear" w:color="000000" w:fill="FFFFFF"/>
            <w:noWrap/>
            <w:vAlign w:val="center"/>
            <w:hideMark/>
          </w:tcPr>
          <w:p w14:paraId="7527C0E0" w14:textId="3CC16D7F" w:rsidR="00381240" w:rsidRPr="00CF0BCE" w:rsidRDefault="00381240" w:rsidP="00381240">
            <w:pPr>
              <w:jc w:val="center"/>
            </w:pPr>
            <w:r>
              <w:rPr>
                <w:color w:val="4D4D4D"/>
              </w:rPr>
              <w:t>16,545</w:t>
            </w:r>
          </w:p>
        </w:tc>
        <w:tc>
          <w:tcPr>
            <w:tcW w:w="1260" w:type="dxa"/>
            <w:tcBorders>
              <w:top w:val="nil"/>
              <w:left w:val="nil"/>
              <w:bottom w:val="single" w:sz="4" w:space="0" w:color="auto"/>
              <w:right w:val="single" w:sz="4" w:space="0" w:color="auto"/>
            </w:tcBorders>
            <w:shd w:val="clear" w:color="000000" w:fill="FFFFFF"/>
            <w:noWrap/>
            <w:vAlign w:val="center"/>
            <w:hideMark/>
          </w:tcPr>
          <w:p w14:paraId="111F454B" w14:textId="6392785A" w:rsidR="00381240" w:rsidRPr="00CF0BCE" w:rsidRDefault="00381240" w:rsidP="00381240">
            <w:pPr>
              <w:jc w:val="center"/>
            </w:pPr>
            <w:r>
              <w:rPr>
                <w:color w:val="4D4D4D"/>
              </w:rPr>
              <w:t>6,242</w:t>
            </w:r>
          </w:p>
        </w:tc>
        <w:tc>
          <w:tcPr>
            <w:tcW w:w="1460" w:type="dxa"/>
            <w:tcBorders>
              <w:top w:val="nil"/>
              <w:left w:val="nil"/>
              <w:bottom w:val="single" w:sz="4" w:space="0" w:color="auto"/>
              <w:right w:val="single" w:sz="4" w:space="0" w:color="auto"/>
            </w:tcBorders>
            <w:shd w:val="clear" w:color="000000" w:fill="FFFFFF"/>
            <w:noWrap/>
            <w:vAlign w:val="center"/>
            <w:hideMark/>
          </w:tcPr>
          <w:p w14:paraId="77B201B8" w14:textId="051FFF06" w:rsidR="00381240" w:rsidRPr="00CF0BCE" w:rsidRDefault="00381240" w:rsidP="00381240">
            <w:pPr>
              <w:jc w:val="center"/>
            </w:pPr>
            <w:r>
              <w:rPr>
                <w:color w:val="4D4D4D"/>
              </w:rPr>
              <w:t>656</w:t>
            </w:r>
          </w:p>
        </w:tc>
        <w:tc>
          <w:tcPr>
            <w:tcW w:w="1360" w:type="dxa"/>
            <w:tcBorders>
              <w:top w:val="nil"/>
              <w:left w:val="nil"/>
              <w:bottom w:val="single" w:sz="4" w:space="0" w:color="auto"/>
              <w:right w:val="single" w:sz="4" w:space="0" w:color="auto"/>
            </w:tcBorders>
            <w:shd w:val="clear" w:color="000000" w:fill="FFFFFF"/>
            <w:noWrap/>
            <w:vAlign w:val="bottom"/>
            <w:hideMark/>
          </w:tcPr>
          <w:p w14:paraId="02F8E7E2" w14:textId="378732FE" w:rsidR="00381240" w:rsidRPr="00CF0BCE" w:rsidRDefault="00381240" w:rsidP="00381240">
            <w:pPr>
              <w:jc w:val="center"/>
            </w:pPr>
            <w:r>
              <w:rPr>
                <w:color w:val="000000"/>
              </w:rPr>
              <w:t>23,443</w:t>
            </w:r>
          </w:p>
        </w:tc>
        <w:tc>
          <w:tcPr>
            <w:tcW w:w="1460" w:type="dxa"/>
            <w:tcBorders>
              <w:top w:val="nil"/>
              <w:left w:val="nil"/>
              <w:bottom w:val="single" w:sz="4" w:space="0" w:color="auto"/>
              <w:right w:val="single" w:sz="4" w:space="0" w:color="auto"/>
            </w:tcBorders>
            <w:shd w:val="clear" w:color="000000" w:fill="FFFFFF"/>
            <w:noWrap/>
            <w:vAlign w:val="bottom"/>
            <w:hideMark/>
          </w:tcPr>
          <w:p w14:paraId="21E47C48" w14:textId="58BBFB63" w:rsidR="00381240" w:rsidRPr="00CF0BCE" w:rsidRDefault="00381240" w:rsidP="00381240">
            <w:pPr>
              <w:jc w:val="center"/>
              <w:rPr>
                <w:color w:val="000000"/>
              </w:rPr>
            </w:pPr>
            <w:r w:rsidRPr="00CF0BCE">
              <w:rPr>
                <w:color w:val="000000"/>
              </w:rPr>
              <w:t>(1,</w:t>
            </w:r>
            <w:r w:rsidR="00A7351B">
              <w:rPr>
                <w:color w:val="000000"/>
              </w:rPr>
              <w:t>253</w:t>
            </w:r>
            <w:r w:rsidRPr="00CF0BCE">
              <w:rPr>
                <w:color w:val="000000"/>
              </w:rPr>
              <w:t>)</w:t>
            </w:r>
          </w:p>
        </w:tc>
        <w:tc>
          <w:tcPr>
            <w:tcW w:w="1240" w:type="dxa"/>
            <w:tcBorders>
              <w:top w:val="nil"/>
              <w:left w:val="nil"/>
              <w:bottom w:val="single" w:sz="4" w:space="0" w:color="auto"/>
              <w:right w:val="single" w:sz="4" w:space="0" w:color="auto"/>
            </w:tcBorders>
            <w:shd w:val="clear" w:color="000000" w:fill="FFFFFF"/>
            <w:noWrap/>
            <w:vAlign w:val="bottom"/>
            <w:hideMark/>
          </w:tcPr>
          <w:p w14:paraId="55808BF5" w14:textId="3EA7D8E3" w:rsidR="00381240" w:rsidRPr="00CF0BCE" w:rsidRDefault="00381240" w:rsidP="00381240">
            <w:pPr>
              <w:jc w:val="center"/>
              <w:rPr>
                <w:color w:val="000000"/>
              </w:rPr>
            </w:pPr>
            <w:r w:rsidRPr="00CF0BCE">
              <w:rPr>
                <w:color w:val="000000"/>
              </w:rPr>
              <w:t>32%</w:t>
            </w:r>
          </w:p>
        </w:tc>
      </w:tr>
      <w:tr w:rsidR="008B51EF" w:rsidRPr="00381240" w14:paraId="61F05CC4"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53481FB" w14:textId="483840B9" w:rsidR="00381240" w:rsidRPr="00CF0BCE" w:rsidRDefault="00381240" w:rsidP="00381240">
            <w:pPr>
              <w:jc w:val="center"/>
              <w:rPr>
                <w:color w:val="000000"/>
              </w:rPr>
            </w:pPr>
            <w:r w:rsidRPr="00CF0BCE">
              <w:rPr>
                <w:color w:val="000000"/>
              </w:rPr>
              <w:t>2027/2028</w:t>
            </w:r>
          </w:p>
        </w:tc>
        <w:tc>
          <w:tcPr>
            <w:tcW w:w="1320" w:type="dxa"/>
            <w:tcBorders>
              <w:top w:val="nil"/>
              <w:left w:val="nil"/>
              <w:bottom w:val="single" w:sz="4" w:space="0" w:color="auto"/>
              <w:right w:val="single" w:sz="4" w:space="0" w:color="auto"/>
            </w:tcBorders>
            <w:shd w:val="clear" w:color="auto" w:fill="auto"/>
            <w:noWrap/>
            <w:vAlign w:val="bottom"/>
            <w:hideMark/>
          </w:tcPr>
          <w:p w14:paraId="1A6B2E7C" w14:textId="3117E541" w:rsidR="00381240" w:rsidRPr="00CF0BCE" w:rsidRDefault="00381240" w:rsidP="00381240">
            <w:pPr>
              <w:jc w:val="center"/>
            </w:pPr>
            <w:r>
              <w:rPr>
                <w:color w:val="000000"/>
              </w:rPr>
              <w:t>19,501</w:t>
            </w:r>
          </w:p>
        </w:tc>
        <w:tc>
          <w:tcPr>
            <w:tcW w:w="1260" w:type="dxa"/>
            <w:tcBorders>
              <w:top w:val="nil"/>
              <w:left w:val="nil"/>
              <w:bottom w:val="single" w:sz="4" w:space="0" w:color="auto"/>
              <w:right w:val="single" w:sz="4" w:space="0" w:color="auto"/>
            </w:tcBorders>
            <w:shd w:val="clear" w:color="000000" w:fill="FFFFFF"/>
            <w:noWrap/>
            <w:vAlign w:val="center"/>
            <w:hideMark/>
          </w:tcPr>
          <w:p w14:paraId="1CE31CA5" w14:textId="7CC2C59A" w:rsidR="00381240" w:rsidRPr="00CF0BCE" w:rsidRDefault="00381240" w:rsidP="00381240">
            <w:pPr>
              <w:jc w:val="center"/>
            </w:pPr>
            <w:r>
              <w:rPr>
                <w:color w:val="4D4D4D"/>
              </w:rPr>
              <w:t>16,801</w:t>
            </w:r>
          </w:p>
        </w:tc>
        <w:tc>
          <w:tcPr>
            <w:tcW w:w="1260" w:type="dxa"/>
            <w:tcBorders>
              <w:top w:val="nil"/>
              <w:left w:val="nil"/>
              <w:bottom w:val="single" w:sz="4" w:space="0" w:color="auto"/>
              <w:right w:val="single" w:sz="4" w:space="0" w:color="auto"/>
            </w:tcBorders>
            <w:shd w:val="clear" w:color="000000" w:fill="FFFFFF"/>
            <w:noWrap/>
            <w:vAlign w:val="center"/>
            <w:hideMark/>
          </w:tcPr>
          <w:p w14:paraId="4FCEB85D" w14:textId="5723A0BA" w:rsidR="00381240" w:rsidRPr="00CF0BCE" w:rsidRDefault="00381240" w:rsidP="00381240">
            <w:pPr>
              <w:jc w:val="center"/>
            </w:pPr>
            <w:r>
              <w:rPr>
                <w:color w:val="4D4D4D"/>
              </w:rPr>
              <w:t>6,503</w:t>
            </w:r>
          </w:p>
        </w:tc>
        <w:tc>
          <w:tcPr>
            <w:tcW w:w="1460" w:type="dxa"/>
            <w:tcBorders>
              <w:top w:val="nil"/>
              <w:left w:val="nil"/>
              <w:bottom w:val="single" w:sz="4" w:space="0" w:color="auto"/>
              <w:right w:val="single" w:sz="4" w:space="0" w:color="auto"/>
            </w:tcBorders>
            <w:shd w:val="clear" w:color="000000" w:fill="FFFFFF"/>
            <w:noWrap/>
            <w:vAlign w:val="center"/>
            <w:hideMark/>
          </w:tcPr>
          <w:p w14:paraId="48839A22" w14:textId="0CD9DC1C" w:rsidR="00381240" w:rsidRPr="00CF0BCE" w:rsidRDefault="00381240" w:rsidP="00381240">
            <w:pPr>
              <w:jc w:val="center"/>
            </w:pPr>
            <w:r>
              <w:rPr>
                <w:color w:val="4D4D4D"/>
              </w:rPr>
              <w:t>656</w:t>
            </w:r>
          </w:p>
        </w:tc>
        <w:tc>
          <w:tcPr>
            <w:tcW w:w="1360" w:type="dxa"/>
            <w:tcBorders>
              <w:top w:val="nil"/>
              <w:left w:val="nil"/>
              <w:bottom w:val="single" w:sz="4" w:space="0" w:color="auto"/>
              <w:right w:val="single" w:sz="4" w:space="0" w:color="auto"/>
            </w:tcBorders>
            <w:shd w:val="clear" w:color="000000" w:fill="FFFFFF"/>
            <w:noWrap/>
            <w:vAlign w:val="bottom"/>
            <w:hideMark/>
          </w:tcPr>
          <w:p w14:paraId="7BBCD5BA" w14:textId="1CDDDE2A" w:rsidR="00381240" w:rsidRPr="00CF0BCE" w:rsidRDefault="00381240" w:rsidP="00381240">
            <w:pPr>
              <w:jc w:val="center"/>
            </w:pPr>
            <w:r>
              <w:rPr>
                <w:color w:val="000000"/>
              </w:rPr>
              <w:t>23,960</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60366F" w14:textId="06A0A962" w:rsidR="00381240" w:rsidRPr="00CF0BCE" w:rsidRDefault="00381240" w:rsidP="00381240">
            <w:pPr>
              <w:jc w:val="center"/>
              <w:rPr>
                <w:color w:val="FF0000"/>
              </w:rPr>
            </w:pPr>
            <w:r w:rsidRPr="00CF0BCE">
              <w:rPr>
                <w:color w:val="FF0000"/>
              </w:rPr>
              <w:t xml:space="preserve">442 </w:t>
            </w:r>
          </w:p>
        </w:tc>
        <w:tc>
          <w:tcPr>
            <w:tcW w:w="1240" w:type="dxa"/>
            <w:tcBorders>
              <w:top w:val="nil"/>
              <w:left w:val="nil"/>
              <w:bottom w:val="single" w:sz="4" w:space="0" w:color="auto"/>
              <w:right w:val="single" w:sz="4" w:space="0" w:color="auto"/>
            </w:tcBorders>
            <w:shd w:val="clear" w:color="000000" w:fill="FFFFFF"/>
            <w:noWrap/>
            <w:vAlign w:val="bottom"/>
            <w:hideMark/>
          </w:tcPr>
          <w:p w14:paraId="04150F87" w14:textId="5C8EC9F3" w:rsidR="00381240" w:rsidRPr="00CF0BCE" w:rsidRDefault="00381240" w:rsidP="00381240">
            <w:pPr>
              <w:jc w:val="center"/>
              <w:rPr>
                <w:color w:val="000000"/>
              </w:rPr>
            </w:pPr>
            <w:r w:rsidRPr="00CF0BCE">
              <w:rPr>
                <w:color w:val="000000"/>
              </w:rPr>
              <w:t>23%</w:t>
            </w:r>
          </w:p>
        </w:tc>
      </w:tr>
      <w:tr w:rsidR="008B51EF" w:rsidRPr="00381240" w14:paraId="6B02E860"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4AFE5D60" w14:textId="6CE655B4" w:rsidR="00381240" w:rsidRPr="00CF0BCE" w:rsidRDefault="00381240" w:rsidP="00381240">
            <w:pPr>
              <w:jc w:val="center"/>
              <w:rPr>
                <w:color w:val="000000"/>
              </w:rPr>
            </w:pPr>
            <w:r w:rsidRPr="00CF0BCE">
              <w:rPr>
                <w:color w:val="000000"/>
              </w:rPr>
              <w:t>2028/2029</w:t>
            </w:r>
          </w:p>
        </w:tc>
        <w:tc>
          <w:tcPr>
            <w:tcW w:w="1320" w:type="dxa"/>
            <w:tcBorders>
              <w:top w:val="nil"/>
              <w:left w:val="nil"/>
              <w:bottom w:val="single" w:sz="4" w:space="0" w:color="auto"/>
              <w:right w:val="single" w:sz="4" w:space="0" w:color="auto"/>
            </w:tcBorders>
            <w:shd w:val="clear" w:color="auto" w:fill="auto"/>
            <w:noWrap/>
            <w:vAlign w:val="bottom"/>
            <w:hideMark/>
          </w:tcPr>
          <w:p w14:paraId="1B5111A1" w14:textId="5B72BFD8" w:rsidR="00381240" w:rsidRPr="00CF0BCE" w:rsidRDefault="00381240" w:rsidP="00381240">
            <w:pPr>
              <w:jc w:val="center"/>
            </w:pPr>
            <w:r>
              <w:rPr>
                <w:color w:val="000000"/>
              </w:rPr>
              <w:t>21,696</w:t>
            </w:r>
          </w:p>
        </w:tc>
        <w:tc>
          <w:tcPr>
            <w:tcW w:w="1260" w:type="dxa"/>
            <w:tcBorders>
              <w:top w:val="nil"/>
              <w:left w:val="nil"/>
              <w:bottom w:val="single" w:sz="4" w:space="0" w:color="auto"/>
              <w:right w:val="single" w:sz="4" w:space="0" w:color="auto"/>
            </w:tcBorders>
            <w:shd w:val="clear" w:color="000000" w:fill="FFFFFF"/>
            <w:noWrap/>
            <w:vAlign w:val="center"/>
            <w:hideMark/>
          </w:tcPr>
          <w:p w14:paraId="101E1A98" w14:textId="5C369935" w:rsidR="00381240" w:rsidRPr="00CF0BCE" w:rsidRDefault="00381240" w:rsidP="00381240">
            <w:pPr>
              <w:jc w:val="center"/>
            </w:pPr>
            <w:r>
              <w:rPr>
                <w:color w:val="4D4D4D"/>
              </w:rPr>
              <w:t>17,272</w:t>
            </w:r>
          </w:p>
        </w:tc>
        <w:tc>
          <w:tcPr>
            <w:tcW w:w="1260" w:type="dxa"/>
            <w:tcBorders>
              <w:top w:val="nil"/>
              <w:left w:val="nil"/>
              <w:bottom w:val="single" w:sz="4" w:space="0" w:color="auto"/>
              <w:right w:val="single" w:sz="4" w:space="0" w:color="auto"/>
            </w:tcBorders>
            <w:shd w:val="clear" w:color="000000" w:fill="FFFFFF"/>
            <w:noWrap/>
            <w:vAlign w:val="center"/>
            <w:hideMark/>
          </w:tcPr>
          <w:p w14:paraId="6DEEE92C" w14:textId="35A07AFE" w:rsidR="00381240" w:rsidRPr="00CF0BCE" w:rsidRDefault="00381240" w:rsidP="00381240">
            <w:pPr>
              <w:jc w:val="center"/>
            </w:pPr>
            <w:r>
              <w:rPr>
                <w:color w:val="4D4D4D"/>
              </w:rPr>
              <w:t>5,723</w:t>
            </w:r>
          </w:p>
        </w:tc>
        <w:tc>
          <w:tcPr>
            <w:tcW w:w="1460" w:type="dxa"/>
            <w:tcBorders>
              <w:top w:val="nil"/>
              <w:left w:val="nil"/>
              <w:bottom w:val="single" w:sz="4" w:space="0" w:color="auto"/>
              <w:right w:val="single" w:sz="4" w:space="0" w:color="auto"/>
            </w:tcBorders>
            <w:shd w:val="clear" w:color="000000" w:fill="FFFFFF"/>
            <w:noWrap/>
            <w:vAlign w:val="center"/>
            <w:hideMark/>
          </w:tcPr>
          <w:p w14:paraId="0174206B" w14:textId="689B3BF6" w:rsidR="00381240" w:rsidRPr="00CF0BCE" w:rsidRDefault="00381240" w:rsidP="00381240">
            <w:pPr>
              <w:jc w:val="center"/>
            </w:pPr>
            <w:r>
              <w:rPr>
                <w:color w:val="4D4D4D"/>
              </w:rPr>
              <w:t>659</w:t>
            </w:r>
          </w:p>
        </w:tc>
        <w:tc>
          <w:tcPr>
            <w:tcW w:w="1360" w:type="dxa"/>
            <w:tcBorders>
              <w:top w:val="nil"/>
              <w:left w:val="nil"/>
              <w:bottom w:val="single" w:sz="4" w:space="0" w:color="auto"/>
              <w:right w:val="single" w:sz="4" w:space="0" w:color="auto"/>
            </w:tcBorders>
            <w:shd w:val="clear" w:color="000000" w:fill="FFFFFF"/>
            <w:noWrap/>
            <w:vAlign w:val="bottom"/>
            <w:hideMark/>
          </w:tcPr>
          <w:p w14:paraId="5F0C5DD8" w14:textId="26583678" w:rsidR="00381240" w:rsidRPr="00CF0BCE" w:rsidRDefault="00381240" w:rsidP="00381240">
            <w:pPr>
              <w:jc w:val="center"/>
            </w:pPr>
            <w:r>
              <w:rPr>
                <w:color w:val="000000"/>
              </w:rPr>
              <w:t>23,654</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79116A" w14:textId="212E54DD" w:rsidR="00381240" w:rsidRPr="00CF0BCE" w:rsidRDefault="00381240" w:rsidP="00381240">
            <w:pPr>
              <w:jc w:val="center"/>
              <w:rPr>
                <w:color w:val="FF0000"/>
              </w:rPr>
            </w:pPr>
            <w:r w:rsidRPr="00CF0BCE">
              <w:rPr>
                <w:color w:val="FF0000"/>
              </w:rPr>
              <w:t xml:space="preserve">3,495 </w:t>
            </w:r>
          </w:p>
        </w:tc>
        <w:tc>
          <w:tcPr>
            <w:tcW w:w="1240" w:type="dxa"/>
            <w:tcBorders>
              <w:top w:val="nil"/>
              <w:left w:val="nil"/>
              <w:bottom w:val="single" w:sz="4" w:space="0" w:color="auto"/>
              <w:right w:val="single" w:sz="4" w:space="0" w:color="auto"/>
            </w:tcBorders>
            <w:shd w:val="clear" w:color="000000" w:fill="FFFFFF"/>
            <w:noWrap/>
            <w:vAlign w:val="bottom"/>
            <w:hideMark/>
          </w:tcPr>
          <w:p w14:paraId="579E1507" w14:textId="097A6FC4" w:rsidR="00381240" w:rsidRPr="00CF0BCE" w:rsidRDefault="00381240" w:rsidP="00381240">
            <w:pPr>
              <w:jc w:val="center"/>
              <w:rPr>
                <w:color w:val="000000"/>
              </w:rPr>
            </w:pPr>
            <w:r w:rsidRPr="00CF0BCE">
              <w:rPr>
                <w:color w:val="000000"/>
              </w:rPr>
              <w:t>9%</w:t>
            </w:r>
          </w:p>
        </w:tc>
      </w:tr>
      <w:tr w:rsidR="009F0B0D" w:rsidRPr="00381240" w14:paraId="3DD7B8B7"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2EDF5EC1" w14:textId="391E5EA3" w:rsidR="009F0B0D" w:rsidRPr="00CF0BCE" w:rsidRDefault="009F0B0D" w:rsidP="009F0B0D">
            <w:pPr>
              <w:jc w:val="center"/>
              <w:rPr>
                <w:color w:val="000000"/>
              </w:rPr>
            </w:pPr>
            <w:r w:rsidRPr="00CF0BCE">
              <w:rPr>
                <w:color w:val="000000"/>
              </w:rPr>
              <w:t>2029/2030</w:t>
            </w:r>
          </w:p>
        </w:tc>
        <w:tc>
          <w:tcPr>
            <w:tcW w:w="1320" w:type="dxa"/>
            <w:tcBorders>
              <w:top w:val="nil"/>
              <w:left w:val="nil"/>
              <w:bottom w:val="single" w:sz="4" w:space="0" w:color="auto"/>
              <w:right w:val="single" w:sz="4" w:space="0" w:color="auto"/>
            </w:tcBorders>
            <w:shd w:val="clear" w:color="auto" w:fill="auto"/>
            <w:noWrap/>
            <w:vAlign w:val="bottom"/>
            <w:hideMark/>
          </w:tcPr>
          <w:p w14:paraId="4A42CC55" w14:textId="5D21620A" w:rsidR="009F0B0D" w:rsidRPr="00CF0BCE" w:rsidRDefault="009F0B0D" w:rsidP="009F0B0D">
            <w:pPr>
              <w:jc w:val="center"/>
            </w:pPr>
            <w:r>
              <w:rPr>
                <w:color w:val="000000"/>
              </w:rPr>
              <w:t>23,517</w:t>
            </w:r>
          </w:p>
        </w:tc>
        <w:tc>
          <w:tcPr>
            <w:tcW w:w="1260" w:type="dxa"/>
            <w:tcBorders>
              <w:top w:val="nil"/>
              <w:left w:val="nil"/>
              <w:bottom w:val="single" w:sz="4" w:space="0" w:color="auto"/>
              <w:right w:val="single" w:sz="4" w:space="0" w:color="auto"/>
            </w:tcBorders>
            <w:shd w:val="clear" w:color="000000" w:fill="FFFFFF"/>
            <w:noWrap/>
            <w:vAlign w:val="center"/>
            <w:hideMark/>
          </w:tcPr>
          <w:p w14:paraId="7FA5B7E2" w14:textId="64BAF6C4" w:rsidR="009F0B0D" w:rsidRPr="00CF0BCE" w:rsidRDefault="009F0B0D" w:rsidP="009F0B0D">
            <w:pPr>
              <w:jc w:val="center"/>
            </w:pPr>
            <w:r>
              <w:rPr>
                <w:color w:val="4D4D4D"/>
              </w:rPr>
              <w:t>17,273</w:t>
            </w:r>
          </w:p>
        </w:tc>
        <w:tc>
          <w:tcPr>
            <w:tcW w:w="1260" w:type="dxa"/>
            <w:tcBorders>
              <w:top w:val="nil"/>
              <w:left w:val="nil"/>
              <w:bottom w:val="single" w:sz="4" w:space="0" w:color="auto"/>
              <w:right w:val="single" w:sz="4" w:space="0" w:color="auto"/>
            </w:tcBorders>
            <w:shd w:val="clear" w:color="000000" w:fill="FFFFFF"/>
            <w:noWrap/>
            <w:vAlign w:val="center"/>
            <w:hideMark/>
          </w:tcPr>
          <w:p w14:paraId="138C6598" w14:textId="2F834A75" w:rsidR="009F0B0D" w:rsidRPr="00CF0BCE" w:rsidRDefault="00A7351B" w:rsidP="009F0B0D">
            <w:pPr>
              <w:jc w:val="center"/>
            </w:pPr>
            <w:r>
              <w:rPr>
                <w:color w:val="4D4D4D"/>
              </w:rPr>
              <w:t>5,</w:t>
            </w:r>
            <w:r w:rsidR="00706AED">
              <w:rPr>
                <w:color w:val="4D4D4D"/>
              </w:rPr>
              <w:t>758</w:t>
            </w:r>
          </w:p>
        </w:tc>
        <w:tc>
          <w:tcPr>
            <w:tcW w:w="1460" w:type="dxa"/>
            <w:tcBorders>
              <w:top w:val="nil"/>
              <w:left w:val="nil"/>
              <w:bottom w:val="single" w:sz="4" w:space="0" w:color="auto"/>
              <w:right w:val="single" w:sz="4" w:space="0" w:color="auto"/>
            </w:tcBorders>
            <w:shd w:val="clear" w:color="000000" w:fill="FFFFFF"/>
            <w:noWrap/>
            <w:vAlign w:val="center"/>
            <w:hideMark/>
          </w:tcPr>
          <w:p w14:paraId="0C2241E0" w14:textId="6ABF3F11" w:rsidR="009F0B0D" w:rsidRPr="00CF0BCE" w:rsidRDefault="009F0B0D" w:rsidP="009F0B0D">
            <w:pPr>
              <w:jc w:val="center"/>
            </w:pPr>
            <w:r w:rsidDel="00C52504">
              <w:rPr>
                <w:color w:val="4D4D4D"/>
              </w:rPr>
              <w:t>661</w:t>
            </w:r>
          </w:p>
        </w:tc>
        <w:tc>
          <w:tcPr>
            <w:tcW w:w="1360" w:type="dxa"/>
            <w:tcBorders>
              <w:top w:val="nil"/>
              <w:left w:val="nil"/>
              <w:bottom w:val="single" w:sz="4" w:space="0" w:color="auto"/>
              <w:right w:val="single" w:sz="4" w:space="0" w:color="auto"/>
            </w:tcBorders>
            <w:shd w:val="clear" w:color="000000" w:fill="FFFFFF"/>
            <w:noWrap/>
            <w:vAlign w:val="bottom"/>
            <w:hideMark/>
          </w:tcPr>
          <w:p w14:paraId="1945F70F" w14:textId="7FEF87EA" w:rsidR="009F0B0D" w:rsidRPr="00CF0BCE" w:rsidRDefault="00A7351B" w:rsidP="009F0B0D">
            <w:pPr>
              <w:jc w:val="center"/>
            </w:pPr>
            <w:r>
              <w:rPr>
                <w:color w:val="000000"/>
              </w:rPr>
              <w:t>23,6</w:t>
            </w:r>
            <w:r w:rsidR="00555073">
              <w:rPr>
                <w:color w:val="000000"/>
              </w:rPr>
              <w:t>93</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23B545" w14:textId="2C5FC808" w:rsidR="009F0B0D" w:rsidRPr="00CF0BCE" w:rsidRDefault="009F0B0D" w:rsidP="009F0B0D">
            <w:pPr>
              <w:jc w:val="center"/>
              <w:rPr>
                <w:color w:val="FF0000"/>
              </w:rPr>
            </w:pPr>
            <w:r>
              <w:rPr>
                <w:color w:val="FF0000"/>
              </w:rPr>
              <w:t>5,</w:t>
            </w:r>
            <w:r w:rsidR="00825AB8">
              <w:rPr>
                <w:color w:val="FF0000"/>
              </w:rPr>
              <w:t>735</w:t>
            </w:r>
            <w:r>
              <w:rPr>
                <w:color w:val="FF0000"/>
              </w:rPr>
              <w:t xml:space="preserve"> </w:t>
            </w:r>
          </w:p>
        </w:tc>
        <w:tc>
          <w:tcPr>
            <w:tcW w:w="1240" w:type="dxa"/>
            <w:tcBorders>
              <w:top w:val="nil"/>
              <w:left w:val="nil"/>
              <w:bottom w:val="single" w:sz="4" w:space="0" w:color="auto"/>
              <w:right w:val="single" w:sz="4" w:space="0" w:color="auto"/>
            </w:tcBorders>
            <w:shd w:val="clear" w:color="000000" w:fill="FFFFFF"/>
            <w:noWrap/>
            <w:vAlign w:val="bottom"/>
            <w:hideMark/>
          </w:tcPr>
          <w:p w14:paraId="70EDE218" w14:textId="7E5421CB" w:rsidR="009F0B0D" w:rsidRPr="00CF0BCE" w:rsidRDefault="009F0B0D" w:rsidP="009F0B0D">
            <w:pPr>
              <w:jc w:val="center"/>
              <w:rPr>
                <w:color w:val="000000"/>
              </w:rPr>
            </w:pPr>
            <w:r w:rsidRPr="00CF0BCE" w:rsidDel="00C52504">
              <w:rPr>
                <w:color w:val="000000"/>
              </w:rPr>
              <w:t>1%</w:t>
            </w:r>
          </w:p>
        </w:tc>
      </w:tr>
      <w:tr w:rsidR="009F0B0D" w:rsidRPr="00381240" w14:paraId="4E6B5D4A"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4C4E7D2D" w14:textId="7CA1760F" w:rsidR="009F0B0D" w:rsidRPr="00CF0BCE" w:rsidRDefault="009F0B0D" w:rsidP="009F0B0D">
            <w:pPr>
              <w:jc w:val="center"/>
              <w:rPr>
                <w:color w:val="000000"/>
              </w:rPr>
            </w:pPr>
            <w:r w:rsidRPr="00CF0BCE">
              <w:rPr>
                <w:color w:val="000000"/>
              </w:rPr>
              <w:t>2030/2031</w:t>
            </w:r>
          </w:p>
        </w:tc>
        <w:tc>
          <w:tcPr>
            <w:tcW w:w="1320" w:type="dxa"/>
            <w:tcBorders>
              <w:top w:val="nil"/>
              <w:left w:val="nil"/>
              <w:bottom w:val="single" w:sz="4" w:space="0" w:color="auto"/>
              <w:right w:val="single" w:sz="4" w:space="0" w:color="auto"/>
            </w:tcBorders>
            <w:shd w:val="clear" w:color="auto" w:fill="auto"/>
            <w:noWrap/>
            <w:vAlign w:val="bottom"/>
            <w:hideMark/>
          </w:tcPr>
          <w:p w14:paraId="7A24FA4A" w14:textId="593B0D77" w:rsidR="009F0B0D" w:rsidRPr="00CF0BCE" w:rsidRDefault="009F0B0D" w:rsidP="009F0B0D">
            <w:pPr>
              <w:jc w:val="center"/>
            </w:pPr>
            <w:r>
              <w:rPr>
                <w:color w:val="000000"/>
              </w:rPr>
              <w:t>24,769</w:t>
            </w:r>
          </w:p>
        </w:tc>
        <w:tc>
          <w:tcPr>
            <w:tcW w:w="1260" w:type="dxa"/>
            <w:tcBorders>
              <w:top w:val="nil"/>
              <w:left w:val="nil"/>
              <w:bottom w:val="single" w:sz="4" w:space="0" w:color="auto"/>
              <w:right w:val="single" w:sz="4" w:space="0" w:color="auto"/>
            </w:tcBorders>
            <w:shd w:val="clear" w:color="000000" w:fill="FFFFFF"/>
            <w:noWrap/>
            <w:vAlign w:val="center"/>
            <w:hideMark/>
          </w:tcPr>
          <w:p w14:paraId="77A2EC01" w14:textId="49807D59" w:rsidR="009F0B0D" w:rsidRPr="00CF0BCE" w:rsidRDefault="009F0B0D" w:rsidP="009F0B0D">
            <w:pPr>
              <w:jc w:val="center"/>
            </w:pPr>
            <w:r>
              <w:rPr>
                <w:color w:val="4D4D4D"/>
              </w:rPr>
              <w:t>17,218</w:t>
            </w:r>
          </w:p>
        </w:tc>
        <w:tc>
          <w:tcPr>
            <w:tcW w:w="1260" w:type="dxa"/>
            <w:tcBorders>
              <w:top w:val="nil"/>
              <w:left w:val="nil"/>
              <w:bottom w:val="single" w:sz="4" w:space="0" w:color="auto"/>
              <w:right w:val="single" w:sz="4" w:space="0" w:color="auto"/>
            </w:tcBorders>
            <w:shd w:val="clear" w:color="000000" w:fill="FFFFFF"/>
            <w:noWrap/>
            <w:vAlign w:val="center"/>
            <w:hideMark/>
          </w:tcPr>
          <w:p w14:paraId="4044DDC5" w14:textId="6155A77B" w:rsidR="009F0B0D" w:rsidRPr="00CF0BCE" w:rsidRDefault="00A7351B" w:rsidP="009F0B0D">
            <w:pPr>
              <w:jc w:val="center"/>
            </w:pPr>
            <w:r>
              <w:rPr>
                <w:color w:val="4D4D4D"/>
              </w:rPr>
              <w:t>3,769</w:t>
            </w:r>
          </w:p>
        </w:tc>
        <w:tc>
          <w:tcPr>
            <w:tcW w:w="1460" w:type="dxa"/>
            <w:tcBorders>
              <w:top w:val="nil"/>
              <w:left w:val="nil"/>
              <w:bottom w:val="single" w:sz="4" w:space="0" w:color="auto"/>
              <w:right w:val="single" w:sz="4" w:space="0" w:color="auto"/>
            </w:tcBorders>
            <w:shd w:val="clear" w:color="000000" w:fill="FFFFFF"/>
            <w:noWrap/>
            <w:vAlign w:val="center"/>
            <w:hideMark/>
          </w:tcPr>
          <w:p w14:paraId="2CFCAEB3" w14:textId="2E0705F5" w:rsidR="009F0B0D" w:rsidRPr="00CF0BCE" w:rsidRDefault="009F0B0D" w:rsidP="009F0B0D">
            <w:pPr>
              <w:jc w:val="center"/>
            </w:pPr>
            <w:r w:rsidDel="00C52504">
              <w:rPr>
                <w:color w:val="4D4D4D"/>
              </w:rPr>
              <w:t>665</w:t>
            </w:r>
          </w:p>
        </w:tc>
        <w:tc>
          <w:tcPr>
            <w:tcW w:w="1360" w:type="dxa"/>
            <w:tcBorders>
              <w:top w:val="nil"/>
              <w:left w:val="nil"/>
              <w:bottom w:val="single" w:sz="4" w:space="0" w:color="auto"/>
              <w:right w:val="single" w:sz="4" w:space="0" w:color="auto"/>
            </w:tcBorders>
            <w:shd w:val="clear" w:color="000000" w:fill="FFFFFF"/>
            <w:noWrap/>
            <w:vAlign w:val="bottom"/>
            <w:hideMark/>
          </w:tcPr>
          <w:p w14:paraId="74C6E496" w14:textId="5E7C4D89" w:rsidR="009F0B0D" w:rsidRPr="00CF0BCE" w:rsidRDefault="00A7351B" w:rsidP="009F0B0D">
            <w:pPr>
              <w:jc w:val="center"/>
            </w:pPr>
            <w:r>
              <w:rPr>
                <w:color w:val="000000"/>
              </w:rPr>
              <w:t>21,652</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3C4D59" w14:textId="61B77030" w:rsidR="009F0B0D" w:rsidRPr="00CF0BCE" w:rsidRDefault="009F0B0D" w:rsidP="009F0B0D">
            <w:pPr>
              <w:jc w:val="center"/>
              <w:rPr>
                <w:color w:val="FF0000"/>
              </w:rPr>
            </w:pPr>
            <w:r>
              <w:rPr>
                <w:color w:val="FF0000"/>
              </w:rPr>
              <w:t xml:space="preserve">9,342 </w:t>
            </w:r>
          </w:p>
        </w:tc>
        <w:tc>
          <w:tcPr>
            <w:tcW w:w="1240" w:type="dxa"/>
            <w:tcBorders>
              <w:top w:val="nil"/>
              <w:left w:val="nil"/>
              <w:bottom w:val="single" w:sz="4" w:space="0" w:color="auto"/>
              <w:right w:val="single" w:sz="4" w:space="0" w:color="auto"/>
            </w:tcBorders>
            <w:shd w:val="clear" w:color="000000" w:fill="FFFFFF"/>
            <w:noWrap/>
            <w:vAlign w:val="bottom"/>
            <w:hideMark/>
          </w:tcPr>
          <w:p w14:paraId="5D7016BD" w14:textId="224AFDDF" w:rsidR="009F0B0D" w:rsidRPr="00CF0BCE" w:rsidRDefault="009F0B0D" w:rsidP="009F0B0D">
            <w:pPr>
              <w:jc w:val="center"/>
              <w:rPr>
                <w:color w:val="000000"/>
              </w:rPr>
            </w:pPr>
            <w:r>
              <w:rPr>
                <w:color w:val="000000"/>
              </w:rPr>
              <w:t>-13</w:t>
            </w:r>
            <w:r w:rsidRPr="00CF0BCE" w:rsidDel="00C52504">
              <w:rPr>
                <w:color w:val="000000"/>
              </w:rPr>
              <w:t>%</w:t>
            </w:r>
          </w:p>
        </w:tc>
      </w:tr>
      <w:tr w:rsidR="009F0B0D" w:rsidRPr="00381240" w14:paraId="21A1D058"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D749B52" w14:textId="31FA1B0C" w:rsidR="009F0B0D" w:rsidRPr="00CF0BCE" w:rsidRDefault="009F0B0D" w:rsidP="009F0B0D">
            <w:pPr>
              <w:jc w:val="center"/>
              <w:rPr>
                <w:color w:val="000000"/>
              </w:rPr>
            </w:pPr>
            <w:r w:rsidRPr="00CF0BCE">
              <w:rPr>
                <w:color w:val="000000"/>
              </w:rPr>
              <w:t>2031/2032</w:t>
            </w:r>
          </w:p>
        </w:tc>
        <w:tc>
          <w:tcPr>
            <w:tcW w:w="1320" w:type="dxa"/>
            <w:tcBorders>
              <w:top w:val="nil"/>
              <w:left w:val="nil"/>
              <w:bottom w:val="single" w:sz="4" w:space="0" w:color="auto"/>
              <w:right w:val="single" w:sz="4" w:space="0" w:color="auto"/>
            </w:tcBorders>
            <w:shd w:val="clear" w:color="auto" w:fill="auto"/>
            <w:noWrap/>
            <w:vAlign w:val="bottom"/>
            <w:hideMark/>
          </w:tcPr>
          <w:p w14:paraId="1D775795" w14:textId="62EC5653" w:rsidR="009F0B0D" w:rsidRPr="00CF0BCE" w:rsidRDefault="009F0B0D" w:rsidP="009F0B0D">
            <w:pPr>
              <w:jc w:val="center"/>
            </w:pPr>
            <w:r>
              <w:rPr>
                <w:color w:val="000000"/>
              </w:rPr>
              <w:t>25,590</w:t>
            </w:r>
          </w:p>
        </w:tc>
        <w:tc>
          <w:tcPr>
            <w:tcW w:w="1260" w:type="dxa"/>
            <w:tcBorders>
              <w:top w:val="nil"/>
              <w:left w:val="nil"/>
              <w:bottom w:val="single" w:sz="4" w:space="0" w:color="auto"/>
              <w:right w:val="single" w:sz="4" w:space="0" w:color="auto"/>
            </w:tcBorders>
            <w:shd w:val="clear" w:color="000000" w:fill="FFFFFF"/>
            <w:noWrap/>
            <w:vAlign w:val="center"/>
            <w:hideMark/>
          </w:tcPr>
          <w:p w14:paraId="0667AADA" w14:textId="1FB8AC7C" w:rsidR="009F0B0D" w:rsidRPr="00CF0BCE" w:rsidRDefault="009F0B0D" w:rsidP="009F0B0D">
            <w:pPr>
              <w:jc w:val="center"/>
            </w:pPr>
            <w:r>
              <w:rPr>
                <w:color w:val="4D4D4D"/>
              </w:rPr>
              <w:t>17,194</w:t>
            </w:r>
          </w:p>
        </w:tc>
        <w:tc>
          <w:tcPr>
            <w:tcW w:w="1260" w:type="dxa"/>
            <w:tcBorders>
              <w:top w:val="nil"/>
              <w:left w:val="nil"/>
              <w:bottom w:val="single" w:sz="4" w:space="0" w:color="auto"/>
              <w:right w:val="single" w:sz="4" w:space="0" w:color="auto"/>
            </w:tcBorders>
            <w:shd w:val="clear" w:color="000000" w:fill="FFFFFF"/>
            <w:noWrap/>
            <w:vAlign w:val="center"/>
            <w:hideMark/>
          </w:tcPr>
          <w:p w14:paraId="521217C1" w14:textId="0ABDCDF8" w:rsidR="009F0B0D" w:rsidRPr="00CF0BCE" w:rsidRDefault="00A7351B" w:rsidP="009F0B0D">
            <w:pPr>
              <w:jc w:val="center"/>
            </w:pPr>
            <w:r>
              <w:rPr>
                <w:color w:val="4D4D4D"/>
              </w:rPr>
              <w:t>3,769</w:t>
            </w:r>
          </w:p>
        </w:tc>
        <w:tc>
          <w:tcPr>
            <w:tcW w:w="1460" w:type="dxa"/>
            <w:tcBorders>
              <w:top w:val="nil"/>
              <w:left w:val="nil"/>
              <w:bottom w:val="single" w:sz="4" w:space="0" w:color="auto"/>
              <w:right w:val="single" w:sz="4" w:space="0" w:color="auto"/>
            </w:tcBorders>
            <w:shd w:val="clear" w:color="000000" w:fill="FFFFFF"/>
            <w:noWrap/>
            <w:vAlign w:val="center"/>
            <w:hideMark/>
          </w:tcPr>
          <w:p w14:paraId="1B26278C" w14:textId="2E934A0F" w:rsidR="009F0B0D" w:rsidRPr="00CF0BCE" w:rsidRDefault="009F0B0D" w:rsidP="009F0B0D">
            <w:pPr>
              <w:jc w:val="center"/>
            </w:pPr>
            <w:r w:rsidDel="00C52504">
              <w:rPr>
                <w:color w:val="4D4D4D"/>
              </w:rPr>
              <w:t>667</w:t>
            </w:r>
          </w:p>
        </w:tc>
        <w:tc>
          <w:tcPr>
            <w:tcW w:w="1360" w:type="dxa"/>
            <w:tcBorders>
              <w:top w:val="nil"/>
              <w:left w:val="nil"/>
              <w:bottom w:val="single" w:sz="4" w:space="0" w:color="auto"/>
              <w:right w:val="single" w:sz="4" w:space="0" w:color="auto"/>
            </w:tcBorders>
            <w:shd w:val="clear" w:color="000000" w:fill="FFFFFF"/>
            <w:noWrap/>
            <w:vAlign w:val="bottom"/>
            <w:hideMark/>
          </w:tcPr>
          <w:p w14:paraId="21C7F6EF" w14:textId="638CE64E" w:rsidR="009F0B0D" w:rsidRPr="00CF0BCE" w:rsidRDefault="00A7351B" w:rsidP="009F0B0D">
            <w:pPr>
              <w:jc w:val="center"/>
            </w:pPr>
            <w:r>
              <w:rPr>
                <w:color w:val="000000"/>
              </w:rPr>
              <w:t>21,630</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8F6D5" w14:textId="2F6C3BC4" w:rsidR="009F0B0D" w:rsidRPr="00CF0BCE" w:rsidRDefault="009F0B0D" w:rsidP="009F0B0D">
            <w:pPr>
              <w:jc w:val="center"/>
              <w:rPr>
                <w:color w:val="FF0000"/>
              </w:rPr>
            </w:pPr>
            <w:r>
              <w:rPr>
                <w:color w:val="FF0000"/>
              </w:rPr>
              <w:t xml:space="preserve">10,392 </w:t>
            </w:r>
          </w:p>
        </w:tc>
        <w:tc>
          <w:tcPr>
            <w:tcW w:w="1240" w:type="dxa"/>
            <w:tcBorders>
              <w:top w:val="nil"/>
              <w:left w:val="nil"/>
              <w:bottom w:val="single" w:sz="4" w:space="0" w:color="auto"/>
              <w:right w:val="single" w:sz="4" w:space="0" w:color="auto"/>
            </w:tcBorders>
            <w:shd w:val="clear" w:color="000000" w:fill="FFFFFF"/>
            <w:noWrap/>
            <w:vAlign w:val="bottom"/>
            <w:hideMark/>
          </w:tcPr>
          <w:p w14:paraId="63021235" w14:textId="663DAA96" w:rsidR="009F0B0D" w:rsidRPr="00CF0BCE" w:rsidRDefault="009F0B0D" w:rsidP="009F0B0D">
            <w:pPr>
              <w:jc w:val="center"/>
              <w:rPr>
                <w:color w:val="000000"/>
              </w:rPr>
            </w:pPr>
            <w:r w:rsidRPr="00CF0BCE" w:rsidDel="00C52504">
              <w:rPr>
                <w:color w:val="000000"/>
              </w:rPr>
              <w:t>-15%</w:t>
            </w:r>
          </w:p>
        </w:tc>
      </w:tr>
      <w:tr w:rsidR="009F0B0D" w:rsidRPr="00381240" w14:paraId="352EA9F9"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3CDAA6AA" w14:textId="66C63B45" w:rsidR="009F0B0D" w:rsidRPr="00CF0BCE" w:rsidRDefault="009F0B0D" w:rsidP="009F0B0D">
            <w:pPr>
              <w:jc w:val="center"/>
              <w:rPr>
                <w:color w:val="000000"/>
              </w:rPr>
            </w:pPr>
            <w:r w:rsidRPr="00CF0BCE">
              <w:rPr>
                <w:color w:val="000000"/>
              </w:rPr>
              <w:t>2032/2033</w:t>
            </w:r>
          </w:p>
        </w:tc>
        <w:tc>
          <w:tcPr>
            <w:tcW w:w="1320" w:type="dxa"/>
            <w:tcBorders>
              <w:top w:val="nil"/>
              <w:left w:val="nil"/>
              <w:bottom w:val="single" w:sz="4" w:space="0" w:color="auto"/>
              <w:right w:val="single" w:sz="4" w:space="0" w:color="auto"/>
            </w:tcBorders>
            <w:shd w:val="clear" w:color="auto" w:fill="auto"/>
            <w:noWrap/>
            <w:vAlign w:val="bottom"/>
            <w:hideMark/>
          </w:tcPr>
          <w:p w14:paraId="2B388DAB" w14:textId="5DDCACCB" w:rsidR="009F0B0D" w:rsidRPr="00CF0BCE" w:rsidRDefault="009F0B0D" w:rsidP="009F0B0D">
            <w:pPr>
              <w:jc w:val="center"/>
            </w:pPr>
            <w:r>
              <w:rPr>
                <w:color w:val="000000"/>
              </w:rPr>
              <w:t>26,160</w:t>
            </w:r>
          </w:p>
        </w:tc>
        <w:tc>
          <w:tcPr>
            <w:tcW w:w="1260" w:type="dxa"/>
            <w:tcBorders>
              <w:top w:val="nil"/>
              <w:left w:val="nil"/>
              <w:bottom w:val="single" w:sz="4" w:space="0" w:color="auto"/>
              <w:right w:val="single" w:sz="4" w:space="0" w:color="auto"/>
            </w:tcBorders>
            <w:shd w:val="clear" w:color="000000" w:fill="FFFFFF"/>
            <w:noWrap/>
            <w:vAlign w:val="center"/>
            <w:hideMark/>
          </w:tcPr>
          <w:p w14:paraId="339F9EA8" w14:textId="75DDC2B5" w:rsidR="009F0B0D" w:rsidRPr="00CF0BCE" w:rsidRDefault="009F0B0D" w:rsidP="009F0B0D">
            <w:pPr>
              <w:jc w:val="center"/>
            </w:pPr>
            <w:r>
              <w:rPr>
                <w:color w:val="4D4D4D"/>
              </w:rPr>
              <w:t>17,194</w:t>
            </w:r>
          </w:p>
        </w:tc>
        <w:tc>
          <w:tcPr>
            <w:tcW w:w="1260" w:type="dxa"/>
            <w:tcBorders>
              <w:top w:val="nil"/>
              <w:left w:val="nil"/>
              <w:bottom w:val="single" w:sz="4" w:space="0" w:color="auto"/>
              <w:right w:val="single" w:sz="4" w:space="0" w:color="auto"/>
            </w:tcBorders>
            <w:shd w:val="clear" w:color="000000" w:fill="FFFFFF"/>
            <w:noWrap/>
            <w:vAlign w:val="center"/>
            <w:hideMark/>
          </w:tcPr>
          <w:p w14:paraId="0D965C17" w14:textId="57838739" w:rsidR="009F0B0D" w:rsidRPr="00CF0BCE" w:rsidRDefault="00A7351B" w:rsidP="009F0B0D">
            <w:pPr>
              <w:jc w:val="center"/>
            </w:pPr>
            <w:r>
              <w:rPr>
                <w:color w:val="4D4D4D"/>
              </w:rPr>
              <w:t>3,714</w:t>
            </w:r>
          </w:p>
        </w:tc>
        <w:tc>
          <w:tcPr>
            <w:tcW w:w="1460" w:type="dxa"/>
            <w:tcBorders>
              <w:top w:val="nil"/>
              <w:left w:val="nil"/>
              <w:bottom w:val="single" w:sz="4" w:space="0" w:color="auto"/>
              <w:right w:val="single" w:sz="4" w:space="0" w:color="auto"/>
            </w:tcBorders>
            <w:shd w:val="clear" w:color="000000" w:fill="FFFFFF"/>
            <w:noWrap/>
            <w:vAlign w:val="center"/>
            <w:hideMark/>
          </w:tcPr>
          <w:p w14:paraId="5C5795A7" w14:textId="6BE77E14" w:rsidR="009F0B0D" w:rsidRPr="00CF0BCE" w:rsidRDefault="009F0B0D" w:rsidP="009F0B0D">
            <w:pPr>
              <w:jc w:val="center"/>
            </w:pPr>
            <w:r w:rsidDel="00C52504">
              <w:rPr>
                <w:color w:val="4D4D4D"/>
              </w:rPr>
              <w:t>670</w:t>
            </w:r>
          </w:p>
        </w:tc>
        <w:tc>
          <w:tcPr>
            <w:tcW w:w="1360" w:type="dxa"/>
            <w:tcBorders>
              <w:top w:val="nil"/>
              <w:left w:val="nil"/>
              <w:bottom w:val="single" w:sz="4" w:space="0" w:color="auto"/>
              <w:right w:val="single" w:sz="4" w:space="0" w:color="auto"/>
            </w:tcBorders>
            <w:shd w:val="clear" w:color="000000" w:fill="FFFFFF"/>
            <w:noWrap/>
            <w:vAlign w:val="bottom"/>
            <w:hideMark/>
          </w:tcPr>
          <w:p w14:paraId="27150375" w14:textId="2ADCC672" w:rsidR="009F0B0D" w:rsidRPr="00CF0BCE" w:rsidRDefault="00A7351B" w:rsidP="009F0B0D">
            <w:pPr>
              <w:jc w:val="center"/>
            </w:pPr>
            <w:r>
              <w:rPr>
                <w:color w:val="000000"/>
              </w:rPr>
              <w:t>21,578</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326689" w14:textId="72B5BC95" w:rsidR="009F0B0D" w:rsidRPr="00CF0BCE" w:rsidRDefault="009F0B0D" w:rsidP="009F0B0D">
            <w:pPr>
              <w:jc w:val="center"/>
              <w:rPr>
                <w:color w:val="FF0000"/>
              </w:rPr>
            </w:pPr>
            <w:r>
              <w:rPr>
                <w:color w:val="FF0000"/>
              </w:rPr>
              <w:t xml:space="preserve">11,158 </w:t>
            </w:r>
          </w:p>
        </w:tc>
        <w:tc>
          <w:tcPr>
            <w:tcW w:w="1240" w:type="dxa"/>
            <w:tcBorders>
              <w:top w:val="nil"/>
              <w:left w:val="nil"/>
              <w:bottom w:val="single" w:sz="4" w:space="0" w:color="auto"/>
              <w:right w:val="single" w:sz="4" w:space="0" w:color="auto"/>
            </w:tcBorders>
            <w:shd w:val="clear" w:color="000000" w:fill="FFFFFF"/>
            <w:noWrap/>
            <w:vAlign w:val="bottom"/>
            <w:hideMark/>
          </w:tcPr>
          <w:p w14:paraId="64947719" w14:textId="338AE9BB" w:rsidR="009F0B0D" w:rsidRPr="00CF0BCE" w:rsidRDefault="009F0B0D" w:rsidP="009F0B0D">
            <w:pPr>
              <w:jc w:val="center"/>
              <w:rPr>
                <w:color w:val="000000"/>
              </w:rPr>
            </w:pPr>
            <w:r>
              <w:rPr>
                <w:color w:val="000000"/>
              </w:rPr>
              <w:t>-18</w:t>
            </w:r>
            <w:r w:rsidRPr="00CF0BCE" w:rsidDel="00C52504">
              <w:rPr>
                <w:color w:val="000000"/>
              </w:rPr>
              <w:t>%</w:t>
            </w:r>
          </w:p>
        </w:tc>
      </w:tr>
      <w:tr w:rsidR="009F0B0D" w:rsidRPr="00381240" w14:paraId="612B3B0D"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49AE974C" w14:textId="73357D34" w:rsidR="009F0B0D" w:rsidRPr="00CF0BCE" w:rsidRDefault="009F0B0D" w:rsidP="009F0B0D">
            <w:pPr>
              <w:jc w:val="center"/>
              <w:rPr>
                <w:color w:val="000000"/>
              </w:rPr>
            </w:pPr>
            <w:r w:rsidRPr="00CF0BCE">
              <w:rPr>
                <w:color w:val="000000"/>
              </w:rPr>
              <w:t>2033/2034</w:t>
            </w:r>
          </w:p>
        </w:tc>
        <w:tc>
          <w:tcPr>
            <w:tcW w:w="1320" w:type="dxa"/>
            <w:tcBorders>
              <w:top w:val="nil"/>
              <w:left w:val="nil"/>
              <w:bottom w:val="single" w:sz="4" w:space="0" w:color="auto"/>
              <w:right w:val="single" w:sz="4" w:space="0" w:color="auto"/>
            </w:tcBorders>
            <w:shd w:val="clear" w:color="auto" w:fill="auto"/>
            <w:noWrap/>
            <w:vAlign w:val="bottom"/>
            <w:hideMark/>
          </w:tcPr>
          <w:p w14:paraId="49EF07D0" w14:textId="66111EA9" w:rsidR="009F0B0D" w:rsidRPr="00CF0BCE" w:rsidRDefault="009F0B0D" w:rsidP="009F0B0D">
            <w:pPr>
              <w:jc w:val="center"/>
            </w:pPr>
            <w:r>
              <w:rPr>
                <w:color w:val="000000"/>
              </w:rPr>
              <w:t>26,436</w:t>
            </w:r>
          </w:p>
        </w:tc>
        <w:tc>
          <w:tcPr>
            <w:tcW w:w="1260" w:type="dxa"/>
            <w:tcBorders>
              <w:top w:val="nil"/>
              <w:left w:val="nil"/>
              <w:bottom w:val="single" w:sz="4" w:space="0" w:color="auto"/>
              <w:right w:val="single" w:sz="4" w:space="0" w:color="auto"/>
            </w:tcBorders>
            <w:shd w:val="clear" w:color="000000" w:fill="FFFFFF"/>
            <w:noWrap/>
            <w:vAlign w:val="center"/>
            <w:hideMark/>
          </w:tcPr>
          <w:p w14:paraId="720BA228" w14:textId="39D23374" w:rsidR="009F0B0D" w:rsidRPr="00CF0BCE" w:rsidRDefault="009F0B0D" w:rsidP="009F0B0D">
            <w:pPr>
              <w:jc w:val="center"/>
            </w:pPr>
            <w:r>
              <w:rPr>
                <w:color w:val="4D4D4D"/>
              </w:rPr>
              <w:t>17,194</w:t>
            </w:r>
          </w:p>
        </w:tc>
        <w:tc>
          <w:tcPr>
            <w:tcW w:w="1260" w:type="dxa"/>
            <w:tcBorders>
              <w:top w:val="nil"/>
              <w:left w:val="nil"/>
              <w:bottom w:val="single" w:sz="4" w:space="0" w:color="auto"/>
              <w:right w:val="single" w:sz="4" w:space="0" w:color="auto"/>
            </w:tcBorders>
            <w:shd w:val="clear" w:color="000000" w:fill="FFFFFF"/>
            <w:noWrap/>
            <w:vAlign w:val="center"/>
            <w:hideMark/>
          </w:tcPr>
          <w:p w14:paraId="4358D271" w14:textId="500CBEDC" w:rsidR="009F0B0D" w:rsidRPr="00CF0BCE" w:rsidRDefault="00A7351B" w:rsidP="009F0B0D">
            <w:pPr>
              <w:jc w:val="center"/>
            </w:pPr>
            <w:r>
              <w:rPr>
                <w:color w:val="4D4D4D"/>
              </w:rPr>
              <w:t>3,710</w:t>
            </w:r>
          </w:p>
        </w:tc>
        <w:tc>
          <w:tcPr>
            <w:tcW w:w="1460" w:type="dxa"/>
            <w:tcBorders>
              <w:top w:val="nil"/>
              <w:left w:val="nil"/>
              <w:bottom w:val="single" w:sz="4" w:space="0" w:color="auto"/>
              <w:right w:val="single" w:sz="4" w:space="0" w:color="auto"/>
            </w:tcBorders>
            <w:shd w:val="clear" w:color="000000" w:fill="FFFFFF"/>
            <w:noWrap/>
            <w:vAlign w:val="center"/>
            <w:hideMark/>
          </w:tcPr>
          <w:p w14:paraId="418E00E8" w14:textId="1402CFF9" w:rsidR="009F0B0D" w:rsidRPr="00CF0BCE" w:rsidRDefault="009F0B0D" w:rsidP="009F0B0D">
            <w:pPr>
              <w:jc w:val="center"/>
            </w:pPr>
            <w:r w:rsidDel="00C52504">
              <w:rPr>
                <w:color w:val="4D4D4D"/>
              </w:rPr>
              <w:t>673</w:t>
            </w:r>
          </w:p>
        </w:tc>
        <w:tc>
          <w:tcPr>
            <w:tcW w:w="1360" w:type="dxa"/>
            <w:tcBorders>
              <w:top w:val="nil"/>
              <w:left w:val="nil"/>
              <w:bottom w:val="single" w:sz="4" w:space="0" w:color="auto"/>
              <w:right w:val="single" w:sz="4" w:space="0" w:color="auto"/>
            </w:tcBorders>
            <w:shd w:val="clear" w:color="000000" w:fill="FFFFFF"/>
            <w:noWrap/>
            <w:vAlign w:val="bottom"/>
            <w:hideMark/>
          </w:tcPr>
          <w:p w14:paraId="7FC5A589" w14:textId="4AF132F6" w:rsidR="009F0B0D" w:rsidRPr="00CF0BCE" w:rsidRDefault="00A7351B" w:rsidP="009F0B0D">
            <w:pPr>
              <w:jc w:val="center"/>
            </w:pPr>
            <w:r>
              <w:rPr>
                <w:color w:val="000000"/>
              </w:rPr>
              <w:t>21,577</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C7021" w14:textId="223CE75A" w:rsidR="009F0B0D" w:rsidRPr="00CF0BCE" w:rsidRDefault="009F0B0D" w:rsidP="009F0B0D">
            <w:pPr>
              <w:jc w:val="center"/>
              <w:rPr>
                <w:color w:val="FF0000"/>
              </w:rPr>
            </w:pPr>
            <w:r>
              <w:rPr>
                <w:color w:val="FF0000"/>
              </w:rPr>
              <w:t xml:space="preserve">11,504 </w:t>
            </w:r>
          </w:p>
        </w:tc>
        <w:tc>
          <w:tcPr>
            <w:tcW w:w="1240" w:type="dxa"/>
            <w:tcBorders>
              <w:top w:val="nil"/>
              <w:left w:val="nil"/>
              <w:bottom w:val="single" w:sz="4" w:space="0" w:color="auto"/>
              <w:right w:val="single" w:sz="4" w:space="0" w:color="auto"/>
            </w:tcBorders>
            <w:shd w:val="clear" w:color="000000" w:fill="FFFFFF"/>
            <w:noWrap/>
            <w:vAlign w:val="bottom"/>
            <w:hideMark/>
          </w:tcPr>
          <w:p w14:paraId="47168977" w14:textId="15843553" w:rsidR="009F0B0D" w:rsidRPr="00CF0BCE" w:rsidRDefault="009F0B0D" w:rsidP="009F0B0D">
            <w:pPr>
              <w:jc w:val="center"/>
              <w:rPr>
                <w:color w:val="000000"/>
              </w:rPr>
            </w:pPr>
            <w:r w:rsidRPr="00CF0BCE" w:rsidDel="00C52504">
              <w:rPr>
                <w:color w:val="000000"/>
              </w:rPr>
              <w:t>-18%</w:t>
            </w:r>
          </w:p>
        </w:tc>
      </w:tr>
      <w:tr w:rsidR="009F0B0D" w:rsidRPr="00381240" w14:paraId="41BC4831"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2D22926E" w14:textId="0BFE6B86" w:rsidR="009F0B0D" w:rsidRPr="00CF0BCE" w:rsidRDefault="009F0B0D" w:rsidP="009F0B0D">
            <w:pPr>
              <w:jc w:val="center"/>
              <w:rPr>
                <w:color w:val="000000"/>
              </w:rPr>
            </w:pPr>
            <w:r w:rsidRPr="00CF0BCE">
              <w:rPr>
                <w:color w:val="000000"/>
              </w:rPr>
              <w:t>2034/2035</w:t>
            </w:r>
          </w:p>
        </w:tc>
        <w:tc>
          <w:tcPr>
            <w:tcW w:w="1320" w:type="dxa"/>
            <w:tcBorders>
              <w:top w:val="nil"/>
              <w:left w:val="nil"/>
              <w:bottom w:val="single" w:sz="4" w:space="0" w:color="auto"/>
              <w:right w:val="single" w:sz="4" w:space="0" w:color="auto"/>
            </w:tcBorders>
            <w:shd w:val="clear" w:color="auto" w:fill="auto"/>
            <w:noWrap/>
            <w:vAlign w:val="bottom"/>
            <w:hideMark/>
          </w:tcPr>
          <w:p w14:paraId="22584BA5" w14:textId="3A6FBA43" w:rsidR="009F0B0D" w:rsidRPr="00CF0BCE" w:rsidRDefault="009F0B0D" w:rsidP="009F0B0D">
            <w:pPr>
              <w:jc w:val="center"/>
            </w:pPr>
            <w:r>
              <w:rPr>
                <w:color w:val="000000"/>
              </w:rPr>
              <w:t>26,623</w:t>
            </w:r>
          </w:p>
        </w:tc>
        <w:tc>
          <w:tcPr>
            <w:tcW w:w="1260" w:type="dxa"/>
            <w:tcBorders>
              <w:top w:val="nil"/>
              <w:left w:val="nil"/>
              <w:bottom w:val="single" w:sz="4" w:space="0" w:color="auto"/>
              <w:right w:val="single" w:sz="4" w:space="0" w:color="auto"/>
            </w:tcBorders>
            <w:shd w:val="clear" w:color="000000" w:fill="FFFFFF"/>
            <w:noWrap/>
            <w:vAlign w:val="center"/>
            <w:hideMark/>
          </w:tcPr>
          <w:p w14:paraId="305ACFEF" w14:textId="6B497A39" w:rsidR="009F0B0D" w:rsidRPr="00CF0BCE" w:rsidRDefault="009F0B0D" w:rsidP="009F0B0D">
            <w:pPr>
              <w:jc w:val="center"/>
            </w:pPr>
            <w:r>
              <w:rPr>
                <w:color w:val="4D4D4D"/>
              </w:rPr>
              <w:t>16,724</w:t>
            </w:r>
          </w:p>
        </w:tc>
        <w:tc>
          <w:tcPr>
            <w:tcW w:w="1260" w:type="dxa"/>
            <w:tcBorders>
              <w:top w:val="nil"/>
              <w:left w:val="nil"/>
              <w:bottom w:val="single" w:sz="4" w:space="0" w:color="auto"/>
              <w:right w:val="single" w:sz="4" w:space="0" w:color="auto"/>
            </w:tcBorders>
            <w:shd w:val="clear" w:color="000000" w:fill="FFFFFF"/>
            <w:noWrap/>
            <w:vAlign w:val="center"/>
            <w:hideMark/>
          </w:tcPr>
          <w:p w14:paraId="26E7D93F" w14:textId="7CE2CD65" w:rsidR="009F0B0D" w:rsidRPr="00CF0BCE" w:rsidRDefault="00A7351B" w:rsidP="009F0B0D">
            <w:pPr>
              <w:jc w:val="center"/>
            </w:pPr>
            <w:r>
              <w:rPr>
                <w:color w:val="4D4D4D"/>
              </w:rPr>
              <w:t>2,393</w:t>
            </w:r>
          </w:p>
        </w:tc>
        <w:tc>
          <w:tcPr>
            <w:tcW w:w="1460" w:type="dxa"/>
            <w:tcBorders>
              <w:top w:val="nil"/>
              <w:left w:val="nil"/>
              <w:bottom w:val="single" w:sz="4" w:space="0" w:color="auto"/>
              <w:right w:val="single" w:sz="4" w:space="0" w:color="auto"/>
            </w:tcBorders>
            <w:shd w:val="clear" w:color="000000" w:fill="FFFFFF"/>
            <w:noWrap/>
            <w:vAlign w:val="center"/>
            <w:hideMark/>
          </w:tcPr>
          <w:p w14:paraId="2785FC10" w14:textId="23EEA317" w:rsidR="009F0B0D" w:rsidRPr="00CF0BCE" w:rsidRDefault="009F0B0D" w:rsidP="009F0B0D">
            <w:pPr>
              <w:jc w:val="center"/>
            </w:pPr>
            <w:r w:rsidDel="00C52504">
              <w:rPr>
                <w:color w:val="4D4D4D"/>
              </w:rPr>
              <w:t>675</w:t>
            </w:r>
          </w:p>
        </w:tc>
        <w:tc>
          <w:tcPr>
            <w:tcW w:w="1360" w:type="dxa"/>
            <w:tcBorders>
              <w:top w:val="nil"/>
              <w:left w:val="nil"/>
              <w:bottom w:val="single" w:sz="4" w:space="0" w:color="auto"/>
              <w:right w:val="single" w:sz="4" w:space="0" w:color="auto"/>
            </w:tcBorders>
            <w:shd w:val="clear" w:color="000000" w:fill="FFFFFF"/>
            <w:noWrap/>
            <w:vAlign w:val="bottom"/>
            <w:hideMark/>
          </w:tcPr>
          <w:p w14:paraId="5A23B1CD" w14:textId="14F36587" w:rsidR="009F0B0D" w:rsidRPr="00CF0BCE" w:rsidRDefault="00A7351B" w:rsidP="009F0B0D">
            <w:pPr>
              <w:jc w:val="center"/>
            </w:pPr>
            <w:r>
              <w:rPr>
                <w:color w:val="000000"/>
              </w:rPr>
              <w:t>19,792</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8E3F6" w14:textId="588A9A0C" w:rsidR="009F0B0D" w:rsidRPr="00CF0BCE" w:rsidRDefault="009F0B0D" w:rsidP="009F0B0D">
            <w:pPr>
              <w:jc w:val="center"/>
              <w:rPr>
                <w:color w:val="FF0000"/>
              </w:rPr>
            </w:pPr>
            <w:r>
              <w:rPr>
                <w:color w:val="FF0000"/>
              </w:rPr>
              <w:t xml:space="preserve">13,522 </w:t>
            </w:r>
          </w:p>
        </w:tc>
        <w:tc>
          <w:tcPr>
            <w:tcW w:w="1240" w:type="dxa"/>
            <w:tcBorders>
              <w:top w:val="nil"/>
              <w:left w:val="nil"/>
              <w:bottom w:val="single" w:sz="4" w:space="0" w:color="auto"/>
              <w:right w:val="single" w:sz="4" w:space="0" w:color="auto"/>
            </w:tcBorders>
            <w:shd w:val="clear" w:color="000000" w:fill="FFFFFF"/>
            <w:noWrap/>
            <w:vAlign w:val="bottom"/>
            <w:hideMark/>
          </w:tcPr>
          <w:p w14:paraId="20FE09B8" w14:textId="5844AC6E" w:rsidR="009F0B0D" w:rsidRPr="00CF0BCE" w:rsidRDefault="009F0B0D" w:rsidP="009F0B0D">
            <w:pPr>
              <w:jc w:val="center"/>
              <w:rPr>
                <w:color w:val="000000"/>
              </w:rPr>
            </w:pPr>
            <w:r w:rsidRPr="00CF0BCE" w:rsidDel="00C52504">
              <w:rPr>
                <w:color w:val="000000"/>
              </w:rPr>
              <w:t>-26%</w:t>
            </w:r>
          </w:p>
        </w:tc>
      </w:tr>
      <w:tr w:rsidR="009F0B0D" w:rsidRPr="00381240" w14:paraId="0E3C730F"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201B84BD" w14:textId="5D97CB48" w:rsidR="009F0B0D" w:rsidRPr="00CF0BCE" w:rsidRDefault="009F0B0D" w:rsidP="009F0B0D">
            <w:pPr>
              <w:jc w:val="center"/>
              <w:rPr>
                <w:color w:val="000000"/>
              </w:rPr>
            </w:pPr>
            <w:r w:rsidRPr="00CF0BCE">
              <w:rPr>
                <w:color w:val="000000"/>
              </w:rPr>
              <w:t>2035/2036</w:t>
            </w:r>
          </w:p>
        </w:tc>
        <w:tc>
          <w:tcPr>
            <w:tcW w:w="1320" w:type="dxa"/>
            <w:tcBorders>
              <w:top w:val="nil"/>
              <w:left w:val="nil"/>
              <w:bottom w:val="single" w:sz="4" w:space="0" w:color="auto"/>
              <w:right w:val="single" w:sz="4" w:space="0" w:color="auto"/>
            </w:tcBorders>
            <w:shd w:val="clear" w:color="auto" w:fill="auto"/>
            <w:noWrap/>
            <w:vAlign w:val="bottom"/>
            <w:hideMark/>
          </w:tcPr>
          <w:p w14:paraId="5ABFF7E3" w14:textId="235E6266" w:rsidR="009F0B0D" w:rsidRPr="00CF0BCE" w:rsidRDefault="009F0B0D" w:rsidP="009F0B0D">
            <w:pPr>
              <w:jc w:val="center"/>
            </w:pPr>
            <w:r>
              <w:rPr>
                <w:color w:val="000000"/>
              </w:rPr>
              <w:t>26,706</w:t>
            </w:r>
          </w:p>
        </w:tc>
        <w:tc>
          <w:tcPr>
            <w:tcW w:w="1260" w:type="dxa"/>
            <w:tcBorders>
              <w:top w:val="nil"/>
              <w:left w:val="nil"/>
              <w:bottom w:val="single" w:sz="4" w:space="0" w:color="auto"/>
              <w:right w:val="single" w:sz="4" w:space="0" w:color="auto"/>
            </w:tcBorders>
            <w:shd w:val="clear" w:color="000000" w:fill="FFFFFF"/>
            <w:noWrap/>
            <w:vAlign w:val="center"/>
            <w:hideMark/>
          </w:tcPr>
          <w:p w14:paraId="1195A645" w14:textId="76F1A357" w:rsidR="009F0B0D" w:rsidRPr="00CF0BCE" w:rsidRDefault="009F0B0D" w:rsidP="009F0B0D">
            <w:pPr>
              <w:jc w:val="center"/>
            </w:pPr>
            <w:r>
              <w:rPr>
                <w:color w:val="4D4D4D"/>
              </w:rPr>
              <w:t>12,759</w:t>
            </w:r>
          </w:p>
        </w:tc>
        <w:tc>
          <w:tcPr>
            <w:tcW w:w="1260" w:type="dxa"/>
            <w:tcBorders>
              <w:top w:val="nil"/>
              <w:left w:val="nil"/>
              <w:bottom w:val="single" w:sz="4" w:space="0" w:color="auto"/>
              <w:right w:val="single" w:sz="4" w:space="0" w:color="auto"/>
            </w:tcBorders>
            <w:shd w:val="clear" w:color="000000" w:fill="FFFFFF"/>
            <w:noWrap/>
            <w:vAlign w:val="center"/>
            <w:hideMark/>
          </w:tcPr>
          <w:p w14:paraId="351860A3" w14:textId="2F143AF7" w:rsidR="009F0B0D" w:rsidRPr="00CF0BCE" w:rsidRDefault="00A7351B" w:rsidP="009F0B0D">
            <w:pPr>
              <w:jc w:val="center"/>
            </w:pPr>
            <w:r>
              <w:rPr>
                <w:color w:val="4D4D4D"/>
              </w:rPr>
              <w:t>1,812</w:t>
            </w:r>
          </w:p>
        </w:tc>
        <w:tc>
          <w:tcPr>
            <w:tcW w:w="1460" w:type="dxa"/>
            <w:tcBorders>
              <w:top w:val="nil"/>
              <w:left w:val="nil"/>
              <w:bottom w:val="single" w:sz="4" w:space="0" w:color="auto"/>
              <w:right w:val="single" w:sz="4" w:space="0" w:color="auto"/>
            </w:tcBorders>
            <w:shd w:val="clear" w:color="000000" w:fill="FFFFFF"/>
            <w:noWrap/>
            <w:vAlign w:val="center"/>
            <w:hideMark/>
          </w:tcPr>
          <w:p w14:paraId="03401034" w14:textId="3626E109" w:rsidR="009F0B0D" w:rsidRPr="00CF0BCE" w:rsidRDefault="009F0B0D" w:rsidP="009F0B0D">
            <w:pPr>
              <w:jc w:val="center"/>
            </w:pPr>
            <w:r w:rsidDel="00C52504">
              <w:rPr>
                <w:color w:val="4D4D4D"/>
              </w:rPr>
              <w:t>676</w:t>
            </w:r>
          </w:p>
        </w:tc>
        <w:tc>
          <w:tcPr>
            <w:tcW w:w="1360" w:type="dxa"/>
            <w:tcBorders>
              <w:top w:val="nil"/>
              <w:left w:val="nil"/>
              <w:bottom w:val="single" w:sz="4" w:space="0" w:color="auto"/>
              <w:right w:val="single" w:sz="4" w:space="0" w:color="auto"/>
            </w:tcBorders>
            <w:shd w:val="clear" w:color="000000" w:fill="FFFFFF"/>
            <w:noWrap/>
            <w:vAlign w:val="bottom"/>
            <w:hideMark/>
          </w:tcPr>
          <w:p w14:paraId="4BBA5D34" w14:textId="0C93DECE" w:rsidR="009F0B0D" w:rsidRPr="00CF0BCE" w:rsidRDefault="00A7351B" w:rsidP="009F0B0D">
            <w:pPr>
              <w:jc w:val="center"/>
            </w:pPr>
            <w:r>
              <w:rPr>
                <w:color w:val="000000"/>
              </w:rPr>
              <w:t>15,247</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66437" w14:textId="1FD731B8" w:rsidR="009F0B0D" w:rsidRPr="00CF0BCE" w:rsidRDefault="009F0B0D" w:rsidP="009F0B0D">
            <w:pPr>
              <w:jc w:val="center"/>
              <w:rPr>
                <w:color w:val="FF0000"/>
              </w:rPr>
            </w:pPr>
            <w:r>
              <w:rPr>
                <w:color w:val="FF0000"/>
              </w:rPr>
              <w:t xml:space="preserve">18,172 </w:t>
            </w:r>
          </w:p>
        </w:tc>
        <w:tc>
          <w:tcPr>
            <w:tcW w:w="1240" w:type="dxa"/>
            <w:tcBorders>
              <w:top w:val="nil"/>
              <w:left w:val="nil"/>
              <w:bottom w:val="single" w:sz="4" w:space="0" w:color="auto"/>
              <w:right w:val="single" w:sz="4" w:space="0" w:color="auto"/>
            </w:tcBorders>
            <w:shd w:val="clear" w:color="000000" w:fill="FFFFFF"/>
            <w:noWrap/>
            <w:vAlign w:val="bottom"/>
            <w:hideMark/>
          </w:tcPr>
          <w:p w14:paraId="6F8F7808" w14:textId="1D9B321E" w:rsidR="009F0B0D" w:rsidRPr="00CF0BCE" w:rsidRDefault="009F0B0D" w:rsidP="009F0B0D">
            <w:pPr>
              <w:jc w:val="center"/>
              <w:rPr>
                <w:color w:val="000000"/>
              </w:rPr>
            </w:pPr>
            <w:r w:rsidRPr="00CF0BCE" w:rsidDel="00C52504">
              <w:rPr>
                <w:color w:val="000000"/>
              </w:rPr>
              <w:t>-43%</w:t>
            </w:r>
          </w:p>
        </w:tc>
      </w:tr>
      <w:tr w:rsidR="009F0B0D" w:rsidRPr="00381240" w14:paraId="4951A4C7"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28DAB03" w14:textId="65DE6D4E" w:rsidR="009F0B0D" w:rsidRPr="00CF0BCE" w:rsidRDefault="009F0B0D" w:rsidP="009F0B0D">
            <w:pPr>
              <w:jc w:val="center"/>
              <w:rPr>
                <w:color w:val="000000"/>
              </w:rPr>
            </w:pPr>
            <w:r w:rsidRPr="00CF0BCE">
              <w:rPr>
                <w:color w:val="000000"/>
              </w:rPr>
              <w:t>2036/2037</w:t>
            </w:r>
          </w:p>
        </w:tc>
        <w:tc>
          <w:tcPr>
            <w:tcW w:w="1320" w:type="dxa"/>
            <w:tcBorders>
              <w:top w:val="nil"/>
              <w:left w:val="nil"/>
              <w:bottom w:val="single" w:sz="4" w:space="0" w:color="auto"/>
              <w:right w:val="single" w:sz="4" w:space="0" w:color="auto"/>
            </w:tcBorders>
            <w:shd w:val="clear" w:color="auto" w:fill="auto"/>
            <w:noWrap/>
            <w:vAlign w:val="bottom"/>
            <w:hideMark/>
          </w:tcPr>
          <w:p w14:paraId="5FE657B2" w14:textId="21144352" w:rsidR="009F0B0D" w:rsidRPr="00CF0BCE" w:rsidRDefault="009F0B0D" w:rsidP="009F0B0D">
            <w:pPr>
              <w:jc w:val="center"/>
            </w:pPr>
            <w:r>
              <w:rPr>
                <w:color w:val="000000"/>
              </w:rPr>
              <w:t>26,923</w:t>
            </w:r>
          </w:p>
        </w:tc>
        <w:tc>
          <w:tcPr>
            <w:tcW w:w="1260" w:type="dxa"/>
            <w:tcBorders>
              <w:top w:val="nil"/>
              <w:left w:val="nil"/>
              <w:bottom w:val="single" w:sz="4" w:space="0" w:color="auto"/>
              <w:right w:val="single" w:sz="4" w:space="0" w:color="auto"/>
            </w:tcBorders>
            <w:shd w:val="clear" w:color="000000" w:fill="FFFFFF"/>
            <w:noWrap/>
            <w:vAlign w:val="center"/>
            <w:hideMark/>
          </w:tcPr>
          <w:p w14:paraId="22BF3E0E" w14:textId="21676F8A" w:rsidR="009F0B0D" w:rsidRPr="00CF0BCE" w:rsidRDefault="009F0B0D" w:rsidP="009F0B0D">
            <w:pPr>
              <w:jc w:val="center"/>
            </w:pPr>
            <w:r>
              <w:rPr>
                <w:color w:val="4D4D4D"/>
              </w:rPr>
              <w:t>12,759</w:t>
            </w:r>
          </w:p>
        </w:tc>
        <w:tc>
          <w:tcPr>
            <w:tcW w:w="1260" w:type="dxa"/>
            <w:tcBorders>
              <w:top w:val="nil"/>
              <w:left w:val="nil"/>
              <w:bottom w:val="single" w:sz="4" w:space="0" w:color="auto"/>
              <w:right w:val="single" w:sz="4" w:space="0" w:color="auto"/>
            </w:tcBorders>
            <w:shd w:val="clear" w:color="000000" w:fill="FFFFFF"/>
            <w:noWrap/>
            <w:vAlign w:val="center"/>
            <w:hideMark/>
          </w:tcPr>
          <w:p w14:paraId="1DBC5244" w14:textId="182ED74E" w:rsidR="009F0B0D" w:rsidRPr="00CF0BCE" w:rsidRDefault="00A7351B" w:rsidP="009F0B0D">
            <w:pPr>
              <w:jc w:val="center"/>
            </w:pPr>
            <w:r>
              <w:rPr>
                <w:color w:val="4D4D4D"/>
              </w:rPr>
              <w:t>1,745</w:t>
            </w:r>
          </w:p>
        </w:tc>
        <w:tc>
          <w:tcPr>
            <w:tcW w:w="1460" w:type="dxa"/>
            <w:tcBorders>
              <w:top w:val="nil"/>
              <w:left w:val="nil"/>
              <w:bottom w:val="single" w:sz="4" w:space="0" w:color="auto"/>
              <w:right w:val="single" w:sz="4" w:space="0" w:color="auto"/>
            </w:tcBorders>
            <w:shd w:val="clear" w:color="000000" w:fill="FFFFFF"/>
            <w:noWrap/>
            <w:vAlign w:val="center"/>
            <w:hideMark/>
          </w:tcPr>
          <w:p w14:paraId="5CACB080" w14:textId="58067A77" w:rsidR="009F0B0D" w:rsidRPr="00CF0BCE" w:rsidRDefault="009F0B0D" w:rsidP="009F0B0D">
            <w:pPr>
              <w:jc w:val="center"/>
            </w:pPr>
            <w:r w:rsidDel="00C52504">
              <w:rPr>
                <w:color w:val="4D4D4D"/>
              </w:rPr>
              <w:t>681</w:t>
            </w:r>
          </w:p>
        </w:tc>
        <w:tc>
          <w:tcPr>
            <w:tcW w:w="1360" w:type="dxa"/>
            <w:tcBorders>
              <w:top w:val="nil"/>
              <w:left w:val="nil"/>
              <w:bottom w:val="single" w:sz="4" w:space="0" w:color="auto"/>
              <w:right w:val="single" w:sz="4" w:space="0" w:color="auto"/>
            </w:tcBorders>
            <w:shd w:val="clear" w:color="000000" w:fill="FFFFFF"/>
            <w:noWrap/>
            <w:vAlign w:val="bottom"/>
            <w:hideMark/>
          </w:tcPr>
          <w:p w14:paraId="67FC085F" w14:textId="0B950ABD" w:rsidR="009F0B0D" w:rsidRPr="00CF0BCE" w:rsidRDefault="00A7351B" w:rsidP="009F0B0D">
            <w:pPr>
              <w:jc w:val="center"/>
            </w:pPr>
            <w:r>
              <w:rPr>
                <w:color w:val="000000"/>
              </w:rPr>
              <w:t>15,185</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A179A" w14:textId="6FC9B086" w:rsidR="009F0B0D" w:rsidRPr="00CF0BCE" w:rsidRDefault="009F0B0D" w:rsidP="009F0B0D">
            <w:pPr>
              <w:jc w:val="center"/>
              <w:rPr>
                <w:color w:val="FF0000"/>
              </w:rPr>
            </w:pPr>
            <w:r>
              <w:rPr>
                <w:color w:val="FF0000"/>
              </w:rPr>
              <w:t xml:space="preserve">18,505 </w:t>
            </w:r>
          </w:p>
        </w:tc>
        <w:tc>
          <w:tcPr>
            <w:tcW w:w="1240" w:type="dxa"/>
            <w:tcBorders>
              <w:top w:val="nil"/>
              <w:left w:val="nil"/>
              <w:bottom w:val="single" w:sz="4" w:space="0" w:color="auto"/>
              <w:right w:val="single" w:sz="4" w:space="0" w:color="auto"/>
            </w:tcBorders>
            <w:shd w:val="clear" w:color="000000" w:fill="FFFFFF"/>
            <w:noWrap/>
            <w:vAlign w:val="bottom"/>
            <w:hideMark/>
          </w:tcPr>
          <w:p w14:paraId="2BC848C9" w14:textId="5C36BB42" w:rsidR="009F0B0D" w:rsidRPr="00CF0BCE" w:rsidRDefault="009F0B0D" w:rsidP="009F0B0D">
            <w:pPr>
              <w:jc w:val="center"/>
              <w:rPr>
                <w:color w:val="000000"/>
              </w:rPr>
            </w:pPr>
            <w:r>
              <w:rPr>
                <w:color w:val="000000"/>
              </w:rPr>
              <w:t>-44</w:t>
            </w:r>
            <w:r w:rsidRPr="00CF0BCE" w:rsidDel="00C52504">
              <w:rPr>
                <w:color w:val="000000"/>
              </w:rPr>
              <w:t>%</w:t>
            </w:r>
          </w:p>
        </w:tc>
      </w:tr>
      <w:tr w:rsidR="009F0B0D" w:rsidRPr="00381240" w14:paraId="524CA0FD" w14:textId="77777777" w:rsidTr="001C611B">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4EC917B1" w14:textId="3ABAB2BC" w:rsidR="009F0B0D" w:rsidRPr="00CF0BCE" w:rsidRDefault="009F0B0D" w:rsidP="009F0B0D">
            <w:pPr>
              <w:jc w:val="center"/>
              <w:rPr>
                <w:color w:val="000000"/>
              </w:rPr>
            </w:pPr>
            <w:r w:rsidRPr="00CF0BCE">
              <w:rPr>
                <w:color w:val="000000"/>
              </w:rPr>
              <w:t>2037/2038</w:t>
            </w:r>
          </w:p>
        </w:tc>
        <w:tc>
          <w:tcPr>
            <w:tcW w:w="1320" w:type="dxa"/>
            <w:tcBorders>
              <w:top w:val="nil"/>
              <w:left w:val="nil"/>
              <w:bottom w:val="single" w:sz="4" w:space="0" w:color="auto"/>
              <w:right w:val="single" w:sz="4" w:space="0" w:color="auto"/>
            </w:tcBorders>
            <w:shd w:val="clear" w:color="auto" w:fill="auto"/>
            <w:noWrap/>
            <w:vAlign w:val="bottom"/>
            <w:hideMark/>
          </w:tcPr>
          <w:p w14:paraId="139EAF87" w14:textId="2767B562" w:rsidR="009F0B0D" w:rsidRPr="00CF0BCE" w:rsidRDefault="009F0B0D" w:rsidP="009F0B0D">
            <w:pPr>
              <w:jc w:val="center"/>
            </w:pPr>
            <w:r>
              <w:rPr>
                <w:color w:val="000000"/>
              </w:rPr>
              <w:t>27,170</w:t>
            </w:r>
          </w:p>
        </w:tc>
        <w:tc>
          <w:tcPr>
            <w:tcW w:w="1260" w:type="dxa"/>
            <w:tcBorders>
              <w:top w:val="nil"/>
              <w:left w:val="nil"/>
              <w:bottom w:val="single" w:sz="4" w:space="0" w:color="auto"/>
              <w:right w:val="single" w:sz="4" w:space="0" w:color="auto"/>
            </w:tcBorders>
            <w:shd w:val="clear" w:color="000000" w:fill="FFFFFF"/>
            <w:noWrap/>
            <w:vAlign w:val="center"/>
            <w:hideMark/>
          </w:tcPr>
          <w:p w14:paraId="49C099CC" w14:textId="50A63755" w:rsidR="009F0B0D" w:rsidRPr="00CF0BCE" w:rsidRDefault="009F0B0D" w:rsidP="009F0B0D">
            <w:pPr>
              <w:jc w:val="center"/>
            </w:pPr>
            <w:r>
              <w:rPr>
                <w:color w:val="4D4D4D"/>
              </w:rPr>
              <w:t>12,759</w:t>
            </w:r>
          </w:p>
        </w:tc>
        <w:tc>
          <w:tcPr>
            <w:tcW w:w="1260" w:type="dxa"/>
            <w:tcBorders>
              <w:top w:val="nil"/>
              <w:left w:val="nil"/>
              <w:bottom w:val="single" w:sz="4" w:space="0" w:color="auto"/>
              <w:right w:val="single" w:sz="4" w:space="0" w:color="auto"/>
            </w:tcBorders>
            <w:shd w:val="clear" w:color="000000" w:fill="FFFFFF"/>
            <w:noWrap/>
            <w:vAlign w:val="center"/>
            <w:hideMark/>
          </w:tcPr>
          <w:p w14:paraId="7CD8F315" w14:textId="13A5A3B4" w:rsidR="009F0B0D" w:rsidRPr="00CF0BCE" w:rsidRDefault="00A7351B" w:rsidP="009F0B0D">
            <w:pPr>
              <w:jc w:val="center"/>
            </w:pPr>
            <w:r>
              <w:rPr>
                <w:color w:val="4D4D4D"/>
              </w:rPr>
              <w:t>1,395</w:t>
            </w:r>
          </w:p>
        </w:tc>
        <w:tc>
          <w:tcPr>
            <w:tcW w:w="1460" w:type="dxa"/>
            <w:tcBorders>
              <w:top w:val="nil"/>
              <w:left w:val="nil"/>
              <w:bottom w:val="single" w:sz="4" w:space="0" w:color="auto"/>
              <w:right w:val="single" w:sz="4" w:space="0" w:color="auto"/>
            </w:tcBorders>
            <w:shd w:val="clear" w:color="000000" w:fill="FFFFFF"/>
            <w:noWrap/>
            <w:vAlign w:val="center"/>
            <w:hideMark/>
          </w:tcPr>
          <w:p w14:paraId="29F273E0" w14:textId="5485F27A" w:rsidR="009F0B0D" w:rsidRPr="00CF0BCE" w:rsidRDefault="009F0B0D" w:rsidP="009F0B0D">
            <w:pPr>
              <w:jc w:val="center"/>
            </w:pPr>
            <w:r w:rsidDel="00C52504">
              <w:rPr>
                <w:color w:val="4D4D4D"/>
              </w:rPr>
              <w:t>703</w:t>
            </w:r>
          </w:p>
        </w:tc>
        <w:tc>
          <w:tcPr>
            <w:tcW w:w="1360" w:type="dxa"/>
            <w:tcBorders>
              <w:top w:val="nil"/>
              <w:left w:val="nil"/>
              <w:bottom w:val="single" w:sz="4" w:space="0" w:color="auto"/>
              <w:right w:val="single" w:sz="4" w:space="0" w:color="auto"/>
            </w:tcBorders>
            <w:shd w:val="clear" w:color="000000" w:fill="FFFFFF"/>
            <w:noWrap/>
            <w:vAlign w:val="bottom"/>
            <w:hideMark/>
          </w:tcPr>
          <w:p w14:paraId="55542CF8" w14:textId="31B4141A" w:rsidR="009F0B0D" w:rsidRPr="00CF0BCE" w:rsidRDefault="00A7351B" w:rsidP="009F0B0D">
            <w:pPr>
              <w:jc w:val="center"/>
            </w:pPr>
            <w:r>
              <w:rPr>
                <w:color w:val="000000"/>
              </w:rPr>
              <w:t>14,857</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4E02B5" w14:textId="647404DB" w:rsidR="009F0B0D" w:rsidRPr="00CF0BCE" w:rsidRDefault="009F0B0D" w:rsidP="009F0B0D">
            <w:pPr>
              <w:jc w:val="center"/>
              <w:rPr>
                <w:color w:val="FF0000"/>
              </w:rPr>
            </w:pPr>
            <w:r>
              <w:rPr>
                <w:color w:val="FF0000"/>
              </w:rPr>
              <w:t xml:space="preserve">19,143 </w:t>
            </w:r>
          </w:p>
        </w:tc>
        <w:tc>
          <w:tcPr>
            <w:tcW w:w="1240" w:type="dxa"/>
            <w:tcBorders>
              <w:top w:val="nil"/>
              <w:left w:val="nil"/>
              <w:bottom w:val="single" w:sz="4" w:space="0" w:color="auto"/>
              <w:right w:val="single" w:sz="4" w:space="0" w:color="auto"/>
            </w:tcBorders>
            <w:shd w:val="clear" w:color="000000" w:fill="FFFFFF"/>
            <w:noWrap/>
            <w:vAlign w:val="bottom"/>
            <w:hideMark/>
          </w:tcPr>
          <w:p w14:paraId="60CAA0B6" w14:textId="51EB367A" w:rsidR="009F0B0D" w:rsidRPr="00CF0BCE" w:rsidRDefault="009F0B0D" w:rsidP="009F0B0D">
            <w:pPr>
              <w:jc w:val="center"/>
              <w:rPr>
                <w:color w:val="000000"/>
              </w:rPr>
            </w:pPr>
            <w:r w:rsidRPr="00CF0BCE" w:rsidDel="00C52504">
              <w:rPr>
                <w:color w:val="000000"/>
              </w:rPr>
              <w:t>-45%</w:t>
            </w:r>
          </w:p>
        </w:tc>
      </w:tr>
      <w:tr w:rsidR="009F0B0D" w:rsidRPr="00A62858" w14:paraId="745AE189" w14:textId="77777777" w:rsidTr="00CF0BCE">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64AA8AC5" w14:textId="4795B5E5" w:rsidR="009F0B0D" w:rsidRPr="00CF0BCE" w:rsidRDefault="009F0B0D" w:rsidP="009F0B0D">
            <w:pPr>
              <w:jc w:val="center"/>
              <w:rPr>
                <w:color w:val="000000"/>
              </w:rPr>
            </w:pPr>
            <w:r w:rsidRPr="00CF0BCE">
              <w:rPr>
                <w:color w:val="000000"/>
              </w:rPr>
              <w:t>2038/2039</w:t>
            </w:r>
          </w:p>
        </w:tc>
        <w:tc>
          <w:tcPr>
            <w:tcW w:w="1320" w:type="dxa"/>
            <w:tcBorders>
              <w:top w:val="nil"/>
              <w:left w:val="nil"/>
              <w:bottom w:val="single" w:sz="4" w:space="0" w:color="auto"/>
              <w:right w:val="single" w:sz="4" w:space="0" w:color="auto"/>
            </w:tcBorders>
            <w:shd w:val="clear" w:color="auto" w:fill="auto"/>
            <w:noWrap/>
            <w:vAlign w:val="bottom"/>
            <w:hideMark/>
          </w:tcPr>
          <w:p w14:paraId="7D9A8A78" w14:textId="556FE848" w:rsidR="009F0B0D" w:rsidRPr="005576EA" w:rsidRDefault="009F0B0D" w:rsidP="009F0B0D">
            <w:pPr>
              <w:jc w:val="center"/>
            </w:pPr>
            <w:r>
              <w:rPr>
                <w:color w:val="000000"/>
              </w:rPr>
              <w:t>27,548</w:t>
            </w:r>
          </w:p>
        </w:tc>
        <w:tc>
          <w:tcPr>
            <w:tcW w:w="1260" w:type="dxa"/>
            <w:tcBorders>
              <w:top w:val="nil"/>
              <w:left w:val="nil"/>
              <w:bottom w:val="single" w:sz="4" w:space="0" w:color="auto"/>
              <w:right w:val="single" w:sz="4" w:space="0" w:color="auto"/>
            </w:tcBorders>
            <w:shd w:val="clear" w:color="000000" w:fill="FFFFFF"/>
            <w:noWrap/>
            <w:vAlign w:val="bottom"/>
            <w:hideMark/>
          </w:tcPr>
          <w:p w14:paraId="2CBF14CE" w14:textId="412F070B" w:rsidR="009F0B0D" w:rsidRPr="005576EA" w:rsidRDefault="009F0B0D" w:rsidP="009F0B0D">
            <w:pPr>
              <w:jc w:val="center"/>
            </w:pPr>
            <w:r>
              <w:rPr>
                <w:color w:val="000000"/>
              </w:rPr>
              <w:t>12,110</w:t>
            </w:r>
          </w:p>
        </w:tc>
        <w:tc>
          <w:tcPr>
            <w:tcW w:w="1260" w:type="dxa"/>
            <w:tcBorders>
              <w:top w:val="nil"/>
              <w:left w:val="nil"/>
              <w:bottom w:val="single" w:sz="4" w:space="0" w:color="auto"/>
              <w:right w:val="single" w:sz="4" w:space="0" w:color="auto"/>
            </w:tcBorders>
            <w:shd w:val="clear" w:color="000000" w:fill="FFFFFF"/>
            <w:noWrap/>
            <w:vAlign w:val="bottom"/>
            <w:hideMark/>
          </w:tcPr>
          <w:p w14:paraId="398DFC60" w14:textId="442E189F" w:rsidR="009F0B0D" w:rsidRPr="005576EA" w:rsidRDefault="00A7351B" w:rsidP="009F0B0D">
            <w:pPr>
              <w:jc w:val="center"/>
            </w:pPr>
            <w:r>
              <w:rPr>
                <w:color w:val="000000"/>
              </w:rPr>
              <w:t>1,395</w:t>
            </w:r>
          </w:p>
        </w:tc>
        <w:tc>
          <w:tcPr>
            <w:tcW w:w="1460" w:type="dxa"/>
            <w:tcBorders>
              <w:top w:val="nil"/>
              <w:left w:val="nil"/>
              <w:bottom w:val="single" w:sz="4" w:space="0" w:color="auto"/>
              <w:right w:val="single" w:sz="4" w:space="0" w:color="auto"/>
            </w:tcBorders>
            <w:shd w:val="clear" w:color="000000" w:fill="FFFFFF"/>
            <w:noWrap/>
            <w:vAlign w:val="bottom"/>
            <w:hideMark/>
          </w:tcPr>
          <w:p w14:paraId="1717CB0A" w14:textId="37736D9E" w:rsidR="009F0B0D" w:rsidRPr="005576EA" w:rsidRDefault="009F0B0D" w:rsidP="009F0B0D">
            <w:pPr>
              <w:jc w:val="center"/>
            </w:pPr>
            <w:r w:rsidDel="00C52504">
              <w:rPr>
                <w:color w:val="000000"/>
              </w:rPr>
              <w:t>711</w:t>
            </w:r>
          </w:p>
        </w:tc>
        <w:tc>
          <w:tcPr>
            <w:tcW w:w="1360" w:type="dxa"/>
            <w:tcBorders>
              <w:top w:val="nil"/>
              <w:left w:val="nil"/>
              <w:bottom w:val="single" w:sz="4" w:space="0" w:color="auto"/>
              <w:right w:val="single" w:sz="4" w:space="0" w:color="auto"/>
            </w:tcBorders>
            <w:shd w:val="clear" w:color="000000" w:fill="FFFFFF"/>
            <w:noWrap/>
            <w:vAlign w:val="bottom"/>
            <w:hideMark/>
          </w:tcPr>
          <w:p w14:paraId="06D50226" w14:textId="624128C7" w:rsidR="009F0B0D" w:rsidRPr="005576EA" w:rsidRDefault="00A7351B" w:rsidP="009F0B0D">
            <w:pPr>
              <w:jc w:val="center"/>
            </w:pPr>
            <w:r>
              <w:rPr>
                <w:color w:val="000000"/>
              </w:rPr>
              <w:t>14,217</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C0122B" w14:textId="78C64716" w:rsidR="009F0B0D" w:rsidRPr="005576EA" w:rsidRDefault="009F0B0D" w:rsidP="009F0B0D">
            <w:pPr>
              <w:jc w:val="center"/>
              <w:rPr>
                <w:color w:val="FF0000"/>
              </w:rPr>
            </w:pPr>
            <w:r>
              <w:rPr>
                <w:color w:val="FF0000"/>
              </w:rPr>
              <w:t xml:space="preserve">20,256 </w:t>
            </w:r>
          </w:p>
        </w:tc>
        <w:tc>
          <w:tcPr>
            <w:tcW w:w="1240" w:type="dxa"/>
            <w:tcBorders>
              <w:top w:val="nil"/>
              <w:left w:val="nil"/>
              <w:bottom w:val="single" w:sz="4" w:space="0" w:color="auto"/>
              <w:right w:val="single" w:sz="4" w:space="0" w:color="auto"/>
            </w:tcBorders>
            <w:shd w:val="clear" w:color="000000" w:fill="FFFFFF"/>
            <w:noWrap/>
            <w:vAlign w:val="bottom"/>
            <w:hideMark/>
          </w:tcPr>
          <w:p w14:paraId="4785D576" w14:textId="69A20D4D" w:rsidR="009F0B0D" w:rsidRPr="005576EA" w:rsidRDefault="009F0B0D" w:rsidP="009F0B0D">
            <w:pPr>
              <w:jc w:val="center"/>
              <w:rPr>
                <w:color w:val="000000"/>
              </w:rPr>
            </w:pPr>
            <w:r w:rsidRPr="005576EA" w:rsidDel="00C52504">
              <w:rPr>
                <w:color w:val="000000"/>
              </w:rPr>
              <w:t>-48%</w:t>
            </w:r>
          </w:p>
        </w:tc>
      </w:tr>
      <w:tr w:rsidR="009F0B0D" w:rsidRPr="00A62858" w14:paraId="1F468729" w14:textId="77777777" w:rsidTr="00CF0BCE">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5D8B4485" w14:textId="08E53BFC" w:rsidR="009F0B0D" w:rsidRPr="005576EA" w:rsidRDefault="009F0B0D" w:rsidP="009F0B0D">
            <w:pPr>
              <w:jc w:val="center"/>
              <w:rPr>
                <w:color w:val="000000"/>
              </w:rPr>
            </w:pPr>
            <w:r w:rsidRPr="005576EA">
              <w:rPr>
                <w:color w:val="000000"/>
              </w:rPr>
              <w:t>2039/2040</w:t>
            </w:r>
          </w:p>
        </w:tc>
        <w:tc>
          <w:tcPr>
            <w:tcW w:w="1320" w:type="dxa"/>
            <w:tcBorders>
              <w:top w:val="nil"/>
              <w:left w:val="nil"/>
              <w:bottom w:val="single" w:sz="4" w:space="0" w:color="auto"/>
              <w:right w:val="single" w:sz="4" w:space="0" w:color="auto"/>
            </w:tcBorders>
            <w:shd w:val="clear" w:color="auto" w:fill="auto"/>
            <w:noWrap/>
            <w:vAlign w:val="bottom"/>
            <w:hideMark/>
          </w:tcPr>
          <w:p w14:paraId="42D096FB" w14:textId="5D3AF36F" w:rsidR="009F0B0D" w:rsidRPr="005576EA" w:rsidRDefault="009F0B0D" w:rsidP="009F0B0D">
            <w:pPr>
              <w:jc w:val="center"/>
            </w:pPr>
            <w:r>
              <w:rPr>
                <w:color w:val="000000"/>
              </w:rPr>
              <w:t>27,851</w:t>
            </w:r>
          </w:p>
        </w:tc>
        <w:tc>
          <w:tcPr>
            <w:tcW w:w="1260" w:type="dxa"/>
            <w:tcBorders>
              <w:top w:val="nil"/>
              <w:left w:val="nil"/>
              <w:bottom w:val="single" w:sz="4" w:space="0" w:color="auto"/>
              <w:right w:val="single" w:sz="4" w:space="0" w:color="auto"/>
            </w:tcBorders>
            <w:shd w:val="clear" w:color="000000" w:fill="FFFFFF"/>
            <w:noWrap/>
            <w:vAlign w:val="bottom"/>
            <w:hideMark/>
          </w:tcPr>
          <w:p w14:paraId="573CEDE7" w14:textId="3999CEB4" w:rsidR="009F0B0D" w:rsidRPr="005576EA" w:rsidRDefault="009F0B0D" w:rsidP="009F0B0D">
            <w:pPr>
              <w:jc w:val="center"/>
            </w:pPr>
            <w:r>
              <w:rPr>
                <w:color w:val="000000"/>
              </w:rPr>
              <w:t>12,110</w:t>
            </w:r>
          </w:p>
        </w:tc>
        <w:tc>
          <w:tcPr>
            <w:tcW w:w="1260" w:type="dxa"/>
            <w:tcBorders>
              <w:top w:val="nil"/>
              <w:left w:val="nil"/>
              <w:bottom w:val="single" w:sz="4" w:space="0" w:color="auto"/>
              <w:right w:val="single" w:sz="4" w:space="0" w:color="auto"/>
            </w:tcBorders>
            <w:shd w:val="clear" w:color="000000" w:fill="FFFFFF"/>
            <w:noWrap/>
            <w:vAlign w:val="bottom"/>
            <w:hideMark/>
          </w:tcPr>
          <w:p w14:paraId="577FA523" w14:textId="5C9BA003" w:rsidR="009F0B0D" w:rsidRPr="005576EA" w:rsidRDefault="00A7351B" w:rsidP="009F0B0D">
            <w:pPr>
              <w:jc w:val="center"/>
            </w:pPr>
            <w:r>
              <w:rPr>
                <w:color w:val="000000"/>
              </w:rPr>
              <w:t>1,035</w:t>
            </w:r>
          </w:p>
        </w:tc>
        <w:tc>
          <w:tcPr>
            <w:tcW w:w="1460" w:type="dxa"/>
            <w:tcBorders>
              <w:top w:val="nil"/>
              <w:left w:val="nil"/>
              <w:bottom w:val="single" w:sz="4" w:space="0" w:color="auto"/>
              <w:right w:val="single" w:sz="4" w:space="0" w:color="auto"/>
            </w:tcBorders>
            <w:shd w:val="clear" w:color="000000" w:fill="FFFFFF"/>
            <w:noWrap/>
            <w:vAlign w:val="bottom"/>
            <w:hideMark/>
          </w:tcPr>
          <w:p w14:paraId="56EF10F8" w14:textId="59567E03" w:rsidR="009F0B0D" w:rsidRPr="005576EA" w:rsidRDefault="009F0B0D" w:rsidP="009F0B0D">
            <w:pPr>
              <w:jc w:val="center"/>
            </w:pPr>
            <w:r w:rsidDel="00C52504">
              <w:rPr>
                <w:color w:val="000000"/>
              </w:rPr>
              <w:t>720</w:t>
            </w:r>
          </w:p>
        </w:tc>
        <w:tc>
          <w:tcPr>
            <w:tcW w:w="1360" w:type="dxa"/>
            <w:tcBorders>
              <w:top w:val="nil"/>
              <w:left w:val="nil"/>
              <w:bottom w:val="single" w:sz="4" w:space="0" w:color="auto"/>
              <w:right w:val="single" w:sz="4" w:space="0" w:color="auto"/>
            </w:tcBorders>
            <w:shd w:val="clear" w:color="000000" w:fill="FFFFFF"/>
            <w:noWrap/>
            <w:vAlign w:val="bottom"/>
            <w:hideMark/>
          </w:tcPr>
          <w:p w14:paraId="2C6AF175" w14:textId="662D1AA5" w:rsidR="009F0B0D" w:rsidRPr="005576EA" w:rsidRDefault="00A7351B" w:rsidP="009F0B0D">
            <w:pPr>
              <w:jc w:val="center"/>
            </w:pPr>
            <w:r>
              <w:rPr>
                <w:color w:val="000000"/>
              </w:rPr>
              <w:t>13,865</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BDD68B" w14:textId="6B6418CF" w:rsidR="009F0B0D" w:rsidRPr="005576EA" w:rsidRDefault="009F0B0D" w:rsidP="009F0B0D">
            <w:pPr>
              <w:jc w:val="center"/>
              <w:rPr>
                <w:color w:val="FF0000"/>
              </w:rPr>
            </w:pPr>
            <w:r>
              <w:rPr>
                <w:color w:val="FF0000"/>
              </w:rPr>
              <w:t xml:space="preserve">20,986 </w:t>
            </w:r>
          </w:p>
        </w:tc>
        <w:tc>
          <w:tcPr>
            <w:tcW w:w="1240" w:type="dxa"/>
            <w:tcBorders>
              <w:top w:val="nil"/>
              <w:left w:val="nil"/>
              <w:bottom w:val="single" w:sz="4" w:space="0" w:color="auto"/>
              <w:right w:val="single" w:sz="4" w:space="0" w:color="auto"/>
            </w:tcBorders>
            <w:shd w:val="clear" w:color="000000" w:fill="FFFFFF"/>
            <w:noWrap/>
            <w:vAlign w:val="bottom"/>
            <w:hideMark/>
          </w:tcPr>
          <w:p w14:paraId="16DC5F73" w14:textId="7A18BA7A" w:rsidR="009F0B0D" w:rsidRPr="005576EA" w:rsidRDefault="009F0B0D" w:rsidP="009F0B0D">
            <w:pPr>
              <w:jc w:val="center"/>
              <w:rPr>
                <w:color w:val="000000"/>
              </w:rPr>
            </w:pPr>
            <w:r w:rsidRPr="005576EA" w:rsidDel="00C52504">
              <w:rPr>
                <w:color w:val="000000"/>
              </w:rPr>
              <w:t>-50%</w:t>
            </w:r>
          </w:p>
        </w:tc>
      </w:tr>
      <w:tr w:rsidR="009F0B0D" w:rsidRPr="00A62858" w14:paraId="6E718F33" w14:textId="77777777" w:rsidTr="00CF0BCE">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6FBBF533" w14:textId="21B6CF23" w:rsidR="009F0B0D" w:rsidRPr="0037297F" w:rsidRDefault="009F0B0D" w:rsidP="009F0B0D">
            <w:pPr>
              <w:jc w:val="center"/>
              <w:rPr>
                <w:color w:val="000000"/>
              </w:rPr>
            </w:pPr>
            <w:r w:rsidRPr="0037297F">
              <w:rPr>
                <w:color w:val="000000"/>
              </w:rPr>
              <w:t>2040/2041</w:t>
            </w:r>
          </w:p>
        </w:tc>
        <w:tc>
          <w:tcPr>
            <w:tcW w:w="1320" w:type="dxa"/>
            <w:tcBorders>
              <w:top w:val="nil"/>
              <w:left w:val="nil"/>
              <w:bottom w:val="single" w:sz="4" w:space="0" w:color="auto"/>
              <w:right w:val="single" w:sz="4" w:space="0" w:color="auto"/>
            </w:tcBorders>
            <w:shd w:val="clear" w:color="auto" w:fill="auto"/>
            <w:noWrap/>
            <w:vAlign w:val="bottom"/>
            <w:hideMark/>
          </w:tcPr>
          <w:p w14:paraId="18BAA668" w14:textId="7D352C15" w:rsidR="009F0B0D" w:rsidRPr="0037297F" w:rsidRDefault="009F0B0D" w:rsidP="009F0B0D">
            <w:pPr>
              <w:jc w:val="center"/>
            </w:pPr>
            <w:r>
              <w:rPr>
                <w:color w:val="000000"/>
              </w:rPr>
              <w:t>28,222</w:t>
            </w:r>
          </w:p>
        </w:tc>
        <w:tc>
          <w:tcPr>
            <w:tcW w:w="1260" w:type="dxa"/>
            <w:tcBorders>
              <w:top w:val="nil"/>
              <w:left w:val="nil"/>
              <w:bottom w:val="single" w:sz="4" w:space="0" w:color="auto"/>
              <w:right w:val="single" w:sz="4" w:space="0" w:color="auto"/>
            </w:tcBorders>
            <w:shd w:val="clear" w:color="000000" w:fill="FFFFFF"/>
            <w:noWrap/>
            <w:vAlign w:val="bottom"/>
            <w:hideMark/>
          </w:tcPr>
          <w:p w14:paraId="4B8EA771" w14:textId="7BE90E92" w:rsidR="009F0B0D" w:rsidRPr="0037297F" w:rsidRDefault="009F0B0D" w:rsidP="009F0B0D">
            <w:pPr>
              <w:jc w:val="center"/>
            </w:pPr>
            <w:r>
              <w:rPr>
                <w:color w:val="000000"/>
              </w:rPr>
              <w:t>12,110</w:t>
            </w:r>
          </w:p>
        </w:tc>
        <w:tc>
          <w:tcPr>
            <w:tcW w:w="1260" w:type="dxa"/>
            <w:tcBorders>
              <w:top w:val="nil"/>
              <w:left w:val="nil"/>
              <w:bottom w:val="single" w:sz="4" w:space="0" w:color="auto"/>
              <w:right w:val="single" w:sz="4" w:space="0" w:color="auto"/>
            </w:tcBorders>
            <w:shd w:val="clear" w:color="000000" w:fill="FFFFFF"/>
            <w:noWrap/>
            <w:vAlign w:val="bottom"/>
            <w:hideMark/>
          </w:tcPr>
          <w:p w14:paraId="3ABA74B7" w14:textId="36E0FB70" w:rsidR="009F0B0D" w:rsidRPr="0037297F" w:rsidRDefault="00A7351B" w:rsidP="009F0B0D">
            <w:pPr>
              <w:jc w:val="center"/>
            </w:pPr>
            <w:r>
              <w:rPr>
                <w:color w:val="000000"/>
              </w:rPr>
              <w:t>1,015</w:t>
            </w:r>
          </w:p>
        </w:tc>
        <w:tc>
          <w:tcPr>
            <w:tcW w:w="1460" w:type="dxa"/>
            <w:tcBorders>
              <w:top w:val="nil"/>
              <w:left w:val="nil"/>
              <w:bottom w:val="single" w:sz="4" w:space="0" w:color="auto"/>
              <w:right w:val="single" w:sz="4" w:space="0" w:color="auto"/>
            </w:tcBorders>
            <w:shd w:val="clear" w:color="000000" w:fill="FFFFFF"/>
            <w:noWrap/>
            <w:vAlign w:val="bottom"/>
            <w:hideMark/>
          </w:tcPr>
          <w:p w14:paraId="1E1C6214" w14:textId="701AD006" w:rsidR="009F0B0D" w:rsidRPr="0037297F" w:rsidRDefault="009F0B0D" w:rsidP="009F0B0D">
            <w:pPr>
              <w:jc w:val="center"/>
            </w:pPr>
            <w:r w:rsidDel="00C52504">
              <w:rPr>
                <w:color w:val="000000"/>
              </w:rPr>
              <w:t>728</w:t>
            </w:r>
          </w:p>
        </w:tc>
        <w:tc>
          <w:tcPr>
            <w:tcW w:w="1360" w:type="dxa"/>
            <w:tcBorders>
              <w:top w:val="nil"/>
              <w:left w:val="nil"/>
              <w:bottom w:val="single" w:sz="4" w:space="0" w:color="auto"/>
              <w:right w:val="single" w:sz="4" w:space="0" w:color="auto"/>
            </w:tcBorders>
            <w:shd w:val="clear" w:color="000000" w:fill="FFFFFF"/>
            <w:noWrap/>
            <w:vAlign w:val="bottom"/>
            <w:hideMark/>
          </w:tcPr>
          <w:p w14:paraId="41EB6BB0" w14:textId="4FAB7C4D" w:rsidR="009F0B0D" w:rsidRPr="0037297F" w:rsidRDefault="00A7351B" w:rsidP="009F0B0D">
            <w:pPr>
              <w:jc w:val="center"/>
            </w:pPr>
            <w:r>
              <w:rPr>
                <w:color w:val="000000"/>
              </w:rPr>
              <w:t>13,853</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8F1148" w14:textId="00CC7536" w:rsidR="009F0B0D" w:rsidRPr="0037297F" w:rsidRDefault="009F0B0D" w:rsidP="009F0B0D">
            <w:pPr>
              <w:jc w:val="center"/>
              <w:rPr>
                <w:color w:val="FF0000"/>
              </w:rPr>
            </w:pPr>
            <w:r>
              <w:rPr>
                <w:color w:val="FF0000"/>
              </w:rPr>
              <w:t xml:space="preserve">21,463 </w:t>
            </w:r>
          </w:p>
        </w:tc>
        <w:tc>
          <w:tcPr>
            <w:tcW w:w="1240" w:type="dxa"/>
            <w:tcBorders>
              <w:top w:val="nil"/>
              <w:left w:val="nil"/>
              <w:bottom w:val="single" w:sz="4" w:space="0" w:color="auto"/>
              <w:right w:val="single" w:sz="4" w:space="0" w:color="auto"/>
            </w:tcBorders>
            <w:shd w:val="clear" w:color="000000" w:fill="FFFFFF"/>
            <w:noWrap/>
            <w:vAlign w:val="bottom"/>
            <w:hideMark/>
          </w:tcPr>
          <w:p w14:paraId="2E96E8E6" w14:textId="3EB946EC" w:rsidR="009F0B0D" w:rsidRPr="0037297F" w:rsidRDefault="009F0B0D" w:rsidP="009F0B0D">
            <w:pPr>
              <w:jc w:val="center"/>
              <w:rPr>
                <w:color w:val="000000"/>
              </w:rPr>
            </w:pPr>
            <w:r w:rsidRPr="0037297F" w:rsidDel="00C52504">
              <w:rPr>
                <w:color w:val="000000"/>
              </w:rPr>
              <w:t>-51%</w:t>
            </w:r>
          </w:p>
        </w:tc>
      </w:tr>
      <w:tr w:rsidR="009F0B0D" w:rsidRPr="00A62858" w14:paraId="39D52855" w14:textId="77777777" w:rsidTr="00CF0BCE">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158F9AF4" w14:textId="64E2AF50" w:rsidR="009F0B0D" w:rsidRPr="0037297F" w:rsidRDefault="009F0B0D" w:rsidP="009F0B0D">
            <w:pPr>
              <w:jc w:val="center"/>
              <w:rPr>
                <w:color w:val="000000"/>
              </w:rPr>
            </w:pPr>
            <w:r w:rsidRPr="0037297F">
              <w:rPr>
                <w:color w:val="000000"/>
              </w:rPr>
              <w:t>2041/2042</w:t>
            </w:r>
          </w:p>
        </w:tc>
        <w:tc>
          <w:tcPr>
            <w:tcW w:w="1320" w:type="dxa"/>
            <w:tcBorders>
              <w:top w:val="nil"/>
              <w:left w:val="nil"/>
              <w:bottom w:val="single" w:sz="4" w:space="0" w:color="auto"/>
              <w:right w:val="single" w:sz="4" w:space="0" w:color="auto"/>
            </w:tcBorders>
            <w:shd w:val="clear" w:color="auto" w:fill="auto"/>
            <w:noWrap/>
            <w:vAlign w:val="bottom"/>
            <w:hideMark/>
          </w:tcPr>
          <w:p w14:paraId="41384D32" w14:textId="676C84B9" w:rsidR="009F0B0D" w:rsidRPr="0037297F" w:rsidRDefault="009F0B0D" w:rsidP="009F0B0D">
            <w:pPr>
              <w:jc w:val="center"/>
            </w:pPr>
            <w:r>
              <w:rPr>
                <w:color w:val="000000"/>
              </w:rPr>
              <w:t>28,605</w:t>
            </w:r>
          </w:p>
        </w:tc>
        <w:tc>
          <w:tcPr>
            <w:tcW w:w="1260" w:type="dxa"/>
            <w:tcBorders>
              <w:top w:val="nil"/>
              <w:left w:val="nil"/>
              <w:bottom w:val="single" w:sz="4" w:space="0" w:color="auto"/>
              <w:right w:val="single" w:sz="4" w:space="0" w:color="auto"/>
            </w:tcBorders>
            <w:shd w:val="clear" w:color="000000" w:fill="FFFFFF"/>
            <w:noWrap/>
            <w:vAlign w:val="bottom"/>
            <w:hideMark/>
          </w:tcPr>
          <w:p w14:paraId="27F646BD" w14:textId="492CA64A" w:rsidR="009F0B0D" w:rsidRPr="0037297F" w:rsidRDefault="009F0B0D" w:rsidP="009F0B0D">
            <w:pPr>
              <w:jc w:val="center"/>
            </w:pPr>
            <w:r>
              <w:rPr>
                <w:color w:val="000000"/>
              </w:rPr>
              <w:t>12,110</w:t>
            </w:r>
          </w:p>
        </w:tc>
        <w:tc>
          <w:tcPr>
            <w:tcW w:w="1260" w:type="dxa"/>
            <w:tcBorders>
              <w:top w:val="nil"/>
              <w:left w:val="nil"/>
              <w:bottom w:val="single" w:sz="4" w:space="0" w:color="auto"/>
              <w:right w:val="single" w:sz="4" w:space="0" w:color="auto"/>
            </w:tcBorders>
            <w:shd w:val="clear" w:color="000000" w:fill="FFFFFF"/>
            <w:noWrap/>
            <w:vAlign w:val="bottom"/>
            <w:hideMark/>
          </w:tcPr>
          <w:p w14:paraId="2E0496C1" w14:textId="50F4531A" w:rsidR="009F0B0D" w:rsidRPr="0037297F" w:rsidRDefault="00A7351B" w:rsidP="009F0B0D">
            <w:pPr>
              <w:jc w:val="center"/>
            </w:pPr>
            <w:r>
              <w:rPr>
                <w:color w:val="000000"/>
              </w:rPr>
              <w:t>1,012</w:t>
            </w:r>
          </w:p>
        </w:tc>
        <w:tc>
          <w:tcPr>
            <w:tcW w:w="1460" w:type="dxa"/>
            <w:tcBorders>
              <w:top w:val="nil"/>
              <w:left w:val="nil"/>
              <w:bottom w:val="single" w:sz="4" w:space="0" w:color="auto"/>
              <w:right w:val="single" w:sz="4" w:space="0" w:color="auto"/>
            </w:tcBorders>
            <w:shd w:val="clear" w:color="000000" w:fill="FFFFFF"/>
            <w:noWrap/>
            <w:vAlign w:val="bottom"/>
            <w:hideMark/>
          </w:tcPr>
          <w:p w14:paraId="011838A4" w14:textId="4824EDB4" w:rsidR="009F0B0D" w:rsidRPr="0037297F" w:rsidRDefault="009F0B0D" w:rsidP="009F0B0D">
            <w:pPr>
              <w:jc w:val="center"/>
            </w:pPr>
            <w:r w:rsidDel="00C52504">
              <w:rPr>
                <w:color w:val="000000"/>
              </w:rPr>
              <w:t>737</w:t>
            </w:r>
          </w:p>
        </w:tc>
        <w:tc>
          <w:tcPr>
            <w:tcW w:w="1360" w:type="dxa"/>
            <w:tcBorders>
              <w:top w:val="nil"/>
              <w:left w:val="nil"/>
              <w:bottom w:val="single" w:sz="4" w:space="0" w:color="auto"/>
              <w:right w:val="single" w:sz="4" w:space="0" w:color="auto"/>
            </w:tcBorders>
            <w:shd w:val="clear" w:color="000000" w:fill="FFFFFF"/>
            <w:noWrap/>
            <w:vAlign w:val="bottom"/>
            <w:hideMark/>
          </w:tcPr>
          <w:p w14:paraId="1941ACD8" w14:textId="4BBFE363" w:rsidR="009F0B0D" w:rsidRPr="0037297F" w:rsidRDefault="00A7351B" w:rsidP="009F0B0D">
            <w:pPr>
              <w:jc w:val="center"/>
            </w:pPr>
            <w:r>
              <w:rPr>
                <w:color w:val="000000"/>
              </w:rPr>
              <w:t>13,860</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9095F7" w14:textId="1B83345E" w:rsidR="009F0B0D" w:rsidRPr="0037297F" w:rsidRDefault="009F0B0D" w:rsidP="009F0B0D">
            <w:pPr>
              <w:jc w:val="center"/>
              <w:rPr>
                <w:color w:val="FF0000"/>
              </w:rPr>
            </w:pPr>
            <w:r>
              <w:rPr>
                <w:color w:val="FF0000"/>
              </w:rPr>
              <w:t xml:space="preserve">21,935 </w:t>
            </w:r>
          </w:p>
        </w:tc>
        <w:tc>
          <w:tcPr>
            <w:tcW w:w="1240" w:type="dxa"/>
            <w:tcBorders>
              <w:top w:val="nil"/>
              <w:left w:val="nil"/>
              <w:bottom w:val="single" w:sz="4" w:space="0" w:color="auto"/>
              <w:right w:val="single" w:sz="4" w:space="0" w:color="auto"/>
            </w:tcBorders>
            <w:shd w:val="clear" w:color="000000" w:fill="FFFFFF"/>
            <w:noWrap/>
            <w:vAlign w:val="bottom"/>
            <w:hideMark/>
          </w:tcPr>
          <w:p w14:paraId="50D5EC40" w14:textId="34EEF8D4" w:rsidR="009F0B0D" w:rsidRPr="0037297F" w:rsidRDefault="009F0B0D" w:rsidP="009F0B0D">
            <w:pPr>
              <w:jc w:val="center"/>
              <w:rPr>
                <w:color w:val="000000"/>
              </w:rPr>
            </w:pPr>
            <w:r>
              <w:rPr>
                <w:color w:val="000000"/>
              </w:rPr>
              <w:t>-52</w:t>
            </w:r>
            <w:r w:rsidRPr="0037297F" w:rsidDel="00C52504">
              <w:rPr>
                <w:color w:val="000000"/>
              </w:rPr>
              <w:t>%</w:t>
            </w:r>
          </w:p>
        </w:tc>
      </w:tr>
      <w:tr w:rsidR="009F0B0D" w:rsidRPr="00A62858" w14:paraId="33A52D57" w14:textId="77777777" w:rsidTr="00CF0BCE">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41791534" w14:textId="4ECCA253" w:rsidR="009F0B0D" w:rsidRPr="0037297F" w:rsidRDefault="009F0B0D" w:rsidP="009F0B0D">
            <w:pPr>
              <w:jc w:val="center"/>
              <w:rPr>
                <w:color w:val="000000"/>
              </w:rPr>
            </w:pPr>
            <w:r w:rsidRPr="0037297F">
              <w:rPr>
                <w:color w:val="000000"/>
              </w:rPr>
              <w:t>2042/2043</w:t>
            </w:r>
          </w:p>
        </w:tc>
        <w:tc>
          <w:tcPr>
            <w:tcW w:w="1320" w:type="dxa"/>
            <w:tcBorders>
              <w:top w:val="nil"/>
              <w:left w:val="nil"/>
              <w:bottom w:val="single" w:sz="4" w:space="0" w:color="auto"/>
              <w:right w:val="single" w:sz="4" w:space="0" w:color="auto"/>
            </w:tcBorders>
            <w:shd w:val="clear" w:color="auto" w:fill="auto"/>
            <w:noWrap/>
            <w:vAlign w:val="bottom"/>
            <w:hideMark/>
          </w:tcPr>
          <w:p w14:paraId="5D2F3AF0" w14:textId="1B7C24AB" w:rsidR="009F0B0D" w:rsidRPr="0037297F" w:rsidRDefault="009F0B0D" w:rsidP="009F0B0D">
            <w:pPr>
              <w:jc w:val="center"/>
            </w:pPr>
            <w:r>
              <w:rPr>
                <w:color w:val="000000"/>
              </w:rPr>
              <w:t>29,028</w:t>
            </w:r>
          </w:p>
        </w:tc>
        <w:tc>
          <w:tcPr>
            <w:tcW w:w="1260" w:type="dxa"/>
            <w:tcBorders>
              <w:top w:val="nil"/>
              <w:left w:val="nil"/>
              <w:bottom w:val="single" w:sz="4" w:space="0" w:color="auto"/>
              <w:right w:val="single" w:sz="4" w:space="0" w:color="auto"/>
            </w:tcBorders>
            <w:shd w:val="clear" w:color="000000" w:fill="FFFFFF"/>
            <w:noWrap/>
            <w:vAlign w:val="bottom"/>
            <w:hideMark/>
          </w:tcPr>
          <w:p w14:paraId="77F4FB3A" w14:textId="049777C9" w:rsidR="009F0B0D" w:rsidRPr="0037297F" w:rsidRDefault="009F0B0D" w:rsidP="009F0B0D">
            <w:pPr>
              <w:jc w:val="center"/>
            </w:pPr>
            <w:r>
              <w:rPr>
                <w:color w:val="000000"/>
              </w:rPr>
              <w:t>12,110</w:t>
            </w:r>
          </w:p>
        </w:tc>
        <w:tc>
          <w:tcPr>
            <w:tcW w:w="1260" w:type="dxa"/>
            <w:tcBorders>
              <w:top w:val="nil"/>
              <w:left w:val="nil"/>
              <w:bottom w:val="single" w:sz="4" w:space="0" w:color="auto"/>
              <w:right w:val="single" w:sz="4" w:space="0" w:color="auto"/>
            </w:tcBorders>
            <w:shd w:val="clear" w:color="000000" w:fill="FFFFFF"/>
            <w:noWrap/>
            <w:vAlign w:val="bottom"/>
            <w:hideMark/>
          </w:tcPr>
          <w:p w14:paraId="0C56CB72" w14:textId="41DB0E52" w:rsidR="009F0B0D" w:rsidRPr="0037297F" w:rsidRDefault="00A7351B" w:rsidP="009F0B0D">
            <w:pPr>
              <w:jc w:val="center"/>
            </w:pPr>
            <w:r>
              <w:rPr>
                <w:color w:val="000000"/>
              </w:rPr>
              <w:t>1,010</w:t>
            </w:r>
          </w:p>
        </w:tc>
        <w:tc>
          <w:tcPr>
            <w:tcW w:w="1460" w:type="dxa"/>
            <w:tcBorders>
              <w:top w:val="nil"/>
              <w:left w:val="nil"/>
              <w:bottom w:val="single" w:sz="4" w:space="0" w:color="auto"/>
              <w:right w:val="single" w:sz="4" w:space="0" w:color="auto"/>
            </w:tcBorders>
            <w:shd w:val="clear" w:color="000000" w:fill="FFFFFF"/>
            <w:noWrap/>
            <w:vAlign w:val="bottom"/>
            <w:hideMark/>
          </w:tcPr>
          <w:p w14:paraId="78C79320" w14:textId="0BC13164" w:rsidR="009F0B0D" w:rsidRPr="0037297F" w:rsidRDefault="009F0B0D" w:rsidP="009F0B0D">
            <w:pPr>
              <w:jc w:val="center"/>
            </w:pPr>
            <w:r w:rsidDel="00C52504">
              <w:rPr>
                <w:color w:val="000000"/>
              </w:rPr>
              <w:t>748</w:t>
            </w:r>
          </w:p>
        </w:tc>
        <w:tc>
          <w:tcPr>
            <w:tcW w:w="1360" w:type="dxa"/>
            <w:tcBorders>
              <w:top w:val="nil"/>
              <w:left w:val="nil"/>
              <w:bottom w:val="single" w:sz="4" w:space="0" w:color="auto"/>
              <w:right w:val="single" w:sz="4" w:space="0" w:color="auto"/>
            </w:tcBorders>
            <w:shd w:val="clear" w:color="000000" w:fill="FFFFFF"/>
            <w:noWrap/>
            <w:vAlign w:val="bottom"/>
            <w:hideMark/>
          </w:tcPr>
          <w:p w14:paraId="1B64341B" w14:textId="0D907564" w:rsidR="009F0B0D" w:rsidRPr="0037297F" w:rsidRDefault="00A7351B" w:rsidP="009F0B0D">
            <w:pPr>
              <w:jc w:val="center"/>
            </w:pPr>
            <w:r>
              <w:rPr>
                <w:color w:val="000000"/>
              </w:rPr>
              <w:t>13,868</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2F9E7D" w14:textId="79F4294F" w:rsidR="009F0B0D" w:rsidRPr="0037297F" w:rsidRDefault="009F0B0D" w:rsidP="009F0B0D">
            <w:pPr>
              <w:jc w:val="center"/>
              <w:rPr>
                <w:color w:val="FF0000"/>
              </w:rPr>
            </w:pPr>
            <w:r>
              <w:rPr>
                <w:color w:val="FF0000"/>
              </w:rPr>
              <w:t xml:space="preserve">22,456 </w:t>
            </w:r>
          </w:p>
        </w:tc>
        <w:tc>
          <w:tcPr>
            <w:tcW w:w="1240" w:type="dxa"/>
            <w:tcBorders>
              <w:top w:val="nil"/>
              <w:left w:val="nil"/>
              <w:bottom w:val="single" w:sz="4" w:space="0" w:color="auto"/>
              <w:right w:val="single" w:sz="4" w:space="0" w:color="auto"/>
            </w:tcBorders>
            <w:shd w:val="clear" w:color="000000" w:fill="FFFFFF"/>
            <w:noWrap/>
            <w:vAlign w:val="bottom"/>
            <w:hideMark/>
          </w:tcPr>
          <w:p w14:paraId="33E00178" w14:textId="26E1AD71" w:rsidR="009F0B0D" w:rsidRPr="0037297F" w:rsidRDefault="009F0B0D" w:rsidP="009F0B0D">
            <w:pPr>
              <w:jc w:val="center"/>
              <w:rPr>
                <w:color w:val="000000"/>
              </w:rPr>
            </w:pPr>
            <w:r w:rsidRPr="0037297F" w:rsidDel="00C52504">
              <w:rPr>
                <w:color w:val="000000"/>
              </w:rPr>
              <w:t>-52%</w:t>
            </w:r>
          </w:p>
        </w:tc>
      </w:tr>
      <w:tr w:rsidR="009F0B0D" w:rsidRPr="00A62858" w14:paraId="30F52CF4" w14:textId="77777777" w:rsidTr="00CF0BCE">
        <w:trPr>
          <w:trHeight w:val="144"/>
          <w:jc w:val="center"/>
        </w:trPr>
        <w:tc>
          <w:tcPr>
            <w:tcW w:w="1072" w:type="dxa"/>
            <w:tcBorders>
              <w:top w:val="nil"/>
              <w:left w:val="single" w:sz="4" w:space="0" w:color="auto"/>
              <w:bottom w:val="single" w:sz="4" w:space="0" w:color="auto"/>
              <w:right w:val="single" w:sz="4" w:space="0" w:color="auto"/>
            </w:tcBorders>
            <w:shd w:val="clear" w:color="auto" w:fill="auto"/>
            <w:noWrap/>
            <w:vAlign w:val="bottom"/>
            <w:hideMark/>
          </w:tcPr>
          <w:p w14:paraId="62C926CA" w14:textId="3AC797B3" w:rsidR="009F0B0D" w:rsidRPr="0037297F" w:rsidRDefault="009F0B0D" w:rsidP="009F0B0D">
            <w:pPr>
              <w:jc w:val="center"/>
              <w:rPr>
                <w:color w:val="000000"/>
              </w:rPr>
            </w:pPr>
            <w:r w:rsidRPr="0037297F">
              <w:rPr>
                <w:color w:val="000000"/>
              </w:rPr>
              <w:t>2043/2044</w:t>
            </w:r>
          </w:p>
        </w:tc>
        <w:tc>
          <w:tcPr>
            <w:tcW w:w="1320" w:type="dxa"/>
            <w:tcBorders>
              <w:top w:val="nil"/>
              <w:left w:val="nil"/>
              <w:bottom w:val="single" w:sz="4" w:space="0" w:color="auto"/>
              <w:right w:val="single" w:sz="4" w:space="0" w:color="auto"/>
            </w:tcBorders>
            <w:shd w:val="clear" w:color="auto" w:fill="auto"/>
            <w:noWrap/>
            <w:vAlign w:val="bottom"/>
            <w:hideMark/>
          </w:tcPr>
          <w:p w14:paraId="59E1F876" w14:textId="16138B17" w:rsidR="009F0B0D" w:rsidRPr="0037297F" w:rsidRDefault="009F0B0D" w:rsidP="009F0B0D">
            <w:pPr>
              <w:jc w:val="center"/>
            </w:pPr>
            <w:r>
              <w:rPr>
                <w:color w:val="000000"/>
              </w:rPr>
              <w:t>29,446</w:t>
            </w:r>
          </w:p>
        </w:tc>
        <w:tc>
          <w:tcPr>
            <w:tcW w:w="1260" w:type="dxa"/>
            <w:tcBorders>
              <w:top w:val="nil"/>
              <w:left w:val="nil"/>
              <w:bottom w:val="single" w:sz="4" w:space="0" w:color="auto"/>
              <w:right w:val="single" w:sz="4" w:space="0" w:color="auto"/>
            </w:tcBorders>
            <w:shd w:val="clear" w:color="000000" w:fill="FFFFFF"/>
            <w:noWrap/>
            <w:vAlign w:val="bottom"/>
            <w:hideMark/>
          </w:tcPr>
          <w:p w14:paraId="4D05A1FB" w14:textId="06CBBBC3" w:rsidR="009F0B0D" w:rsidRPr="0037297F" w:rsidRDefault="009F0B0D" w:rsidP="009F0B0D">
            <w:pPr>
              <w:jc w:val="center"/>
            </w:pPr>
            <w:r>
              <w:rPr>
                <w:color w:val="000000"/>
              </w:rPr>
              <w:t>12,110</w:t>
            </w:r>
          </w:p>
        </w:tc>
        <w:tc>
          <w:tcPr>
            <w:tcW w:w="1260" w:type="dxa"/>
            <w:tcBorders>
              <w:top w:val="nil"/>
              <w:left w:val="nil"/>
              <w:bottom w:val="single" w:sz="4" w:space="0" w:color="auto"/>
              <w:right w:val="single" w:sz="4" w:space="0" w:color="auto"/>
            </w:tcBorders>
            <w:shd w:val="clear" w:color="000000" w:fill="FFFFFF"/>
            <w:noWrap/>
            <w:vAlign w:val="bottom"/>
            <w:hideMark/>
          </w:tcPr>
          <w:p w14:paraId="6C23EF3A" w14:textId="50EEE97A" w:rsidR="009F0B0D" w:rsidRPr="0037297F" w:rsidRDefault="00A7351B" w:rsidP="009F0B0D">
            <w:pPr>
              <w:jc w:val="center"/>
            </w:pPr>
            <w:r>
              <w:rPr>
                <w:color w:val="000000"/>
              </w:rPr>
              <w:t>1,010</w:t>
            </w:r>
          </w:p>
        </w:tc>
        <w:tc>
          <w:tcPr>
            <w:tcW w:w="1460" w:type="dxa"/>
            <w:tcBorders>
              <w:top w:val="nil"/>
              <w:left w:val="nil"/>
              <w:bottom w:val="single" w:sz="4" w:space="0" w:color="auto"/>
              <w:right w:val="single" w:sz="4" w:space="0" w:color="auto"/>
            </w:tcBorders>
            <w:shd w:val="clear" w:color="000000" w:fill="FFFFFF"/>
            <w:noWrap/>
            <w:vAlign w:val="bottom"/>
            <w:hideMark/>
          </w:tcPr>
          <w:p w14:paraId="399D6421" w14:textId="787FCBA7" w:rsidR="009F0B0D" w:rsidRPr="0037297F" w:rsidRDefault="009F0B0D" w:rsidP="009F0B0D">
            <w:pPr>
              <w:jc w:val="center"/>
            </w:pPr>
            <w:r w:rsidDel="00C52504">
              <w:rPr>
                <w:color w:val="000000"/>
              </w:rPr>
              <w:t>758</w:t>
            </w:r>
          </w:p>
        </w:tc>
        <w:tc>
          <w:tcPr>
            <w:tcW w:w="1360" w:type="dxa"/>
            <w:tcBorders>
              <w:top w:val="nil"/>
              <w:left w:val="nil"/>
              <w:bottom w:val="single" w:sz="4" w:space="0" w:color="auto"/>
              <w:right w:val="single" w:sz="4" w:space="0" w:color="auto"/>
            </w:tcBorders>
            <w:shd w:val="clear" w:color="000000" w:fill="FFFFFF"/>
            <w:noWrap/>
            <w:vAlign w:val="bottom"/>
            <w:hideMark/>
          </w:tcPr>
          <w:p w14:paraId="66171ABB" w14:textId="59B4B9CE" w:rsidR="009F0B0D" w:rsidRPr="0037297F" w:rsidRDefault="00A7351B" w:rsidP="009F0B0D">
            <w:pPr>
              <w:jc w:val="center"/>
            </w:pPr>
            <w:r>
              <w:rPr>
                <w:color w:val="000000"/>
              </w:rPr>
              <w:t>13,878</w:t>
            </w:r>
          </w:p>
        </w:tc>
        <w:tc>
          <w:tcPr>
            <w:tcW w:w="14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9627C" w14:textId="054902A9" w:rsidR="009F0B0D" w:rsidRPr="0037297F" w:rsidRDefault="009F0B0D" w:rsidP="009F0B0D">
            <w:pPr>
              <w:jc w:val="center"/>
              <w:rPr>
                <w:color w:val="FF0000"/>
              </w:rPr>
            </w:pPr>
            <w:r>
              <w:rPr>
                <w:color w:val="FF0000"/>
              </w:rPr>
              <w:t xml:space="preserve">22,970 </w:t>
            </w:r>
          </w:p>
        </w:tc>
        <w:tc>
          <w:tcPr>
            <w:tcW w:w="1240" w:type="dxa"/>
            <w:tcBorders>
              <w:top w:val="nil"/>
              <w:left w:val="nil"/>
              <w:bottom w:val="single" w:sz="4" w:space="0" w:color="auto"/>
              <w:right w:val="single" w:sz="4" w:space="0" w:color="auto"/>
            </w:tcBorders>
            <w:shd w:val="clear" w:color="000000" w:fill="FFFFFF"/>
            <w:noWrap/>
            <w:vAlign w:val="bottom"/>
            <w:hideMark/>
          </w:tcPr>
          <w:p w14:paraId="28F3EDC3" w14:textId="5CF7B34F" w:rsidR="009F0B0D" w:rsidRPr="0037297F" w:rsidRDefault="009F0B0D" w:rsidP="009F0B0D">
            <w:pPr>
              <w:jc w:val="center"/>
              <w:rPr>
                <w:color w:val="000000"/>
              </w:rPr>
            </w:pPr>
            <w:r w:rsidRPr="0037297F" w:rsidDel="00C52504">
              <w:rPr>
                <w:color w:val="000000"/>
              </w:rPr>
              <w:t>-53%</w:t>
            </w:r>
          </w:p>
        </w:tc>
      </w:tr>
      <w:tr w:rsidR="00381240" w:rsidRPr="00A62858" w14:paraId="3870FF7E" w14:textId="77777777" w:rsidTr="0037297F">
        <w:trPr>
          <w:trHeight w:val="2900"/>
          <w:jc w:val="center"/>
        </w:trPr>
        <w:tc>
          <w:tcPr>
            <w:tcW w:w="10432" w:type="dxa"/>
            <w:gridSpan w:val="8"/>
            <w:tcBorders>
              <w:top w:val="nil"/>
              <w:left w:val="nil"/>
              <w:bottom w:val="nil"/>
              <w:right w:val="nil"/>
            </w:tcBorders>
            <w:shd w:val="clear" w:color="000000" w:fill="FFFFFF"/>
            <w:vAlign w:val="center"/>
            <w:hideMark/>
          </w:tcPr>
          <w:p w14:paraId="3A2BABF7" w14:textId="55855D4C" w:rsidR="00381240" w:rsidRPr="0037297F" w:rsidRDefault="00381240" w:rsidP="003E6F50">
            <w:pPr>
              <w:rPr>
                <w:color w:val="000000"/>
                <w:sz w:val="22"/>
                <w:szCs w:val="22"/>
              </w:rPr>
            </w:pPr>
            <w:r w:rsidRPr="0037297F">
              <w:rPr>
                <w:b/>
                <w:color w:val="000000"/>
                <w:sz w:val="22"/>
                <w:szCs w:val="22"/>
              </w:rPr>
              <w:t>Notes</w:t>
            </w:r>
            <w:r w:rsidRPr="0037297F">
              <w:rPr>
                <w:color w:val="000000"/>
                <w:sz w:val="22"/>
                <w:szCs w:val="22"/>
              </w:rPr>
              <w:br/>
              <w:t>(A) Territorial Load requirements less non-dispatchable DSOs.</w:t>
            </w:r>
            <w:r w:rsidRPr="0037297F">
              <w:rPr>
                <w:color w:val="000000"/>
                <w:sz w:val="22"/>
                <w:szCs w:val="22"/>
              </w:rPr>
              <w:br/>
              <w:t xml:space="preserve">(B) </w:t>
            </w:r>
            <w:r w:rsidR="00D24508" w:rsidRPr="00485685">
              <w:rPr>
                <w:color w:val="000000"/>
                <w:sz w:val="22"/>
                <w:szCs w:val="22"/>
              </w:rPr>
              <w:t>Values reflect effective load carrying capability (“ELCC”).</w:t>
            </w:r>
            <w:r w:rsidRPr="0037297F">
              <w:rPr>
                <w:color w:val="000000"/>
                <w:sz w:val="22"/>
                <w:szCs w:val="22"/>
              </w:rPr>
              <w:br/>
              <w:t>(C) Includes territorial and imported power purchases. Capacity does not include the 500 MW ESS RFP approved in the 2022 IRP to show total procurement needs.</w:t>
            </w:r>
            <w:r w:rsidRPr="0037297F" w:rsidDel="00D24508">
              <w:rPr>
                <w:color w:val="000000"/>
                <w:sz w:val="22"/>
                <w:szCs w:val="22"/>
              </w:rPr>
              <w:br/>
            </w:r>
            <w:r w:rsidRPr="0037297F">
              <w:rPr>
                <w:color w:val="000000"/>
                <w:sz w:val="22"/>
                <w:szCs w:val="22"/>
              </w:rPr>
              <w:t>(</w:t>
            </w:r>
            <w:r w:rsidR="00D24508">
              <w:rPr>
                <w:color w:val="000000"/>
                <w:sz w:val="22"/>
                <w:szCs w:val="22"/>
              </w:rPr>
              <w:t>D</w:t>
            </w:r>
            <w:r w:rsidRPr="0037297F">
              <w:rPr>
                <w:color w:val="000000"/>
                <w:sz w:val="22"/>
                <w:szCs w:val="22"/>
              </w:rPr>
              <w:t>) Does not consider planning reserve sharing. Reflects GPC's Target Reserve Margin resulting from a System Target Reserve Margin of 25.50% (2025-2027) and 26% (2028 and beyond).</w:t>
            </w:r>
          </w:p>
        </w:tc>
      </w:tr>
    </w:tbl>
    <w:p w14:paraId="4E483850" w14:textId="031CACF0" w:rsidR="00381240" w:rsidDel="00330933" w:rsidRDefault="00381240" w:rsidP="00FB3986">
      <w:pPr>
        <w:rPr>
          <w:rFonts w:ascii="Arial" w:hAnsi="Arial"/>
          <w:sz w:val="24"/>
        </w:rPr>
      </w:pPr>
    </w:p>
    <w:p w14:paraId="7E2331D3" w14:textId="77777777" w:rsidR="004635B2" w:rsidRDefault="004635B2">
      <w:pPr>
        <w:rPr>
          <w:rFonts w:ascii="Arial" w:hAnsi="Arial"/>
          <w:noProof/>
          <w:sz w:val="24"/>
        </w:rPr>
      </w:pPr>
      <w:r>
        <w:rPr>
          <w:rFonts w:ascii="Arial" w:hAnsi="Arial"/>
          <w:noProof/>
          <w:sz w:val="24"/>
        </w:rPr>
        <w:br w:type="page"/>
      </w:r>
    </w:p>
    <w:p w14:paraId="6B3672DE" w14:textId="77777777" w:rsidR="00B10A3E" w:rsidRDefault="00580390" w:rsidP="00B10A3E">
      <w:pPr>
        <w:pStyle w:val="Heading2"/>
        <w:keepNext/>
        <w:tabs>
          <w:tab w:val="clear" w:pos="7362"/>
          <w:tab w:val="num" w:pos="1440"/>
        </w:tabs>
        <w:spacing w:after="120" w:line="360" w:lineRule="auto"/>
        <w:ind w:left="720" w:firstLine="0"/>
      </w:pPr>
      <w:bookmarkStart w:id="24" w:name="_Toc191504509"/>
      <w:r w:rsidRPr="00C25FF3">
        <w:lastRenderedPageBreak/>
        <w:t>Proposed Ratemaking Treatment of Costs</w:t>
      </w:r>
      <w:bookmarkEnd w:id="24"/>
    </w:p>
    <w:p w14:paraId="22E1B1ED" w14:textId="69DB049E" w:rsidR="00B10A3E" w:rsidRPr="00C52A5F" w:rsidRDefault="00580390" w:rsidP="001C47F4">
      <w:pPr>
        <w:pStyle w:val="BodyText"/>
        <w:rPr>
          <w:rFonts w:ascii="Times New Roman" w:hAnsi="Times New Roman"/>
        </w:rPr>
      </w:pPr>
      <w:r>
        <w:rPr>
          <w:rFonts w:ascii="Times New Roman" w:hAnsi="Times New Roman"/>
        </w:rPr>
        <w:t xml:space="preserve">The </w:t>
      </w:r>
      <w:r w:rsidR="009F47FC">
        <w:rPr>
          <w:rFonts w:ascii="Times New Roman" w:hAnsi="Times New Roman"/>
        </w:rPr>
        <w:t>2022 IRP Final Order directed</w:t>
      </w:r>
      <w:r>
        <w:rPr>
          <w:rFonts w:ascii="Times New Roman" w:hAnsi="Times New Roman"/>
        </w:rPr>
        <w:t xml:space="preserve"> that the costs to implement and administer the </w:t>
      </w:r>
      <w:r w:rsidR="009F47FC">
        <w:rPr>
          <w:rFonts w:ascii="Times New Roman" w:hAnsi="Times New Roman"/>
        </w:rPr>
        <w:t>CARES 2023 US</w:t>
      </w:r>
      <w:r w:rsidR="002644D3">
        <w:rPr>
          <w:rFonts w:ascii="Times New Roman" w:hAnsi="Times New Roman"/>
        </w:rPr>
        <w:t xml:space="preserve"> </w:t>
      </w:r>
      <w:r w:rsidR="00B9381F">
        <w:rPr>
          <w:rFonts w:ascii="Times New Roman" w:hAnsi="Times New Roman"/>
        </w:rPr>
        <w:t xml:space="preserve">RFP, that are not being recovered elsewhere by the Company, </w:t>
      </w:r>
      <w:r>
        <w:rPr>
          <w:rFonts w:ascii="Times New Roman" w:hAnsi="Times New Roman"/>
        </w:rPr>
        <w:t xml:space="preserve">will be </w:t>
      </w:r>
      <w:r w:rsidR="00B9381F">
        <w:rPr>
          <w:rFonts w:ascii="Times New Roman" w:hAnsi="Times New Roman"/>
        </w:rPr>
        <w:t>included in</w:t>
      </w:r>
      <w:r>
        <w:rPr>
          <w:rFonts w:ascii="Times New Roman" w:hAnsi="Times New Roman"/>
        </w:rPr>
        <w:t xml:space="preserve"> the fuel clause</w:t>
      </w:r>
      <w:r w:rsidR="00B9381F">
        <w:rPr>
          <w:rFonts w:ascii="Times New Roman" w:hAnsi="Times New Roman"/>
        </w:rPr>
        <w:t xml:space="preserve"> and recovered through the Fuel Cost Recovery (</w:t>
      </w:r>
      <w:r w:rsidR="009F47FC">
        <w:rPr>
          <w:rFonts w:ascii="Times New Roman" w:hAnsi="Times New Roman"/>
        </w:rPr>
        <w:t>“</w:t>
      </w:r>
      <w:r w:rsidR="00B9381F">
        <w:rPr>
          <w:rFonts w:ascii="Times New Roman" w:hAnsi="Times New Roman"/>
        </w:rPr>
        <w:t>FCR</w:t>
      </w:r>
      <w:r w:rsidR="009F47FC">
        <w:rPr>
          <w:rFonts w:ascii="Times New Roman" w:hAnsi="Times New Roman"/>
        </w:rPr>
        <w:t>”</w:t>
      </w:r>
      <w:r w:rsidR="00B9381F">
        <w:rPr>
          <w:rFonts w:ascii="Times New Roman" w:hAnsi="Times New Roman"/>
        </w:rPr>
        <w:t>) mechanism.</w:t>
      </w:r>
    </w:p>
    <w:p w14:paraId="47738D91" w14:textId="7F8E4CBE" w:rsidR="00B10A3E" w:rsidRPr="007C70C4" w:rsidRDefault="00580390" w:rsidP="00B10A3E">
      <w:pPr>
        <w:pStyle w:val="Heading2"/>
        <w:keepNext/>
        <w:tabs>
          <w:tab w:val="clear" w:pos="7362"/>
          <w:tab w:val="num" w:pos="1440"/>
        </w:tabs>
        <w:spacing w:after="120" w:line="360" w:lineRule="auto"/>
        <w:ind w:left="720" w:firstLine="0"/>
      </w:pPr>
      <w:bookmarkStart w:id="25" w:name="_Toc371316833"/>
      <w:bookmarkStart w:id="26" w:name="_Toc191504510"/>
      <w:r w:rsidRPr="007C70C4">
        <w:t>Additional Sum</w:t>
      </w:r>
      <w:bookmarkEnd w:id="25"/>
      <w:bookmarkEnd w:id="26"/>
    </w:p>
    <w:p w14:paraId="370ABD8E" w14:textId="4020DDC9" w:rsidR="00B10A3E" w:rsidRDefault="00580390" w:rsidP="008A2AFB">
      <w:pPr>
        <w:pStyle w:val="BodyText"/>
        <w:rPr>
          <w:rFonts w:ascii="Times New Roman" w:hAnsi="Times New Roman"/>
          <w:szCs w:val="24"/>
        </w:rPr>
      </w:pPr>
      <w:r>
        <w:rPr>
          <w:rFonts w:ascii="Times New Roman" w:hAnsi="Times New Roman"/>
          <w:szCs w:val="24"/>
        </w:rPr>
        <w:t>The IRP statute provides for the Company to receive an additional sum. Specifically, O.C.G.A. § 46-3A-8 provides as follows:</w:t>
      </w:r>
    </w:p>
    <w:p w14:paraId="3216CE2C" w14:textId="50124F2D" w:rsidR="00B10A3E" w:rsidRDefault="00580390" w:rsidP="007E3093">
      <w:pPr>
        <w:pStyle w:val="BodyText"/>
        <w:ind w:left="1440" w:right="720" w:firstLine="0"/>
        <w:rPr>
          <w:rFonts w:ascii="Times New Roman" w:hAnsi="Times New Roman"/>
          <w:szCs w:val="24"/>
        </w:rPr>
      </w:pPr>
      <w:r>
        <w:rPr>
          <w:rFonts w:ascii="Times New Roman" w:hAnsi="Times New Roman"/>
          <w:szCs w:val="24"/>
        </w:rPr>
        <w:t>The approved or actual cost, whichever is less, of purchase of any certified long-term power purchase shall be recovered in rates by the utility, along with an additional sum as determined by the commission to encourage such purchases. The commission shall consider lost revenues, if any, changed risks, and an equitable sharing of benefits between the utility and its retail customers.</w:t>
      </w:r>
    </w:p>
    <w:p w14:paraId="2FF042CE" w14:textId="10A39B00" w:rsidR="00B10A3E" w:rsidRPr="009310AD" w:rsidRDefault="00580390" w:rsidP="001C47F4">
      <w:pPr>
        <w:spacing w:before="240" w:after="240" w:line="360" w:lineRule="auto"/>
        <w:ind w:firstLine="720"/>
        <w:jc w:val="both"/>
        <w:rPr>
          <w:color w:val="000000"/>
          <w:sz w:val="24"/>
          <w:szCs w:val="24"/>
        </w:rPr>
      </w:pPr>
      <w:r w:rsidRPr="21BD028B">
        <w:rPr>
          <w:color w:val="000000" w:themeColor="text1"/>
          <w:sz w:val="24"/>
          <w:szCs w:val="24"/>
        </w:rPr>
        <w:t>When calculating an additional sum, the statute specifically requires that the Commission consider lost revenues</w:t>
      </w:r>
      <w:r w:rsidR="007E3093" w:rsidRPr="21BD028B">
        <w:rPr>
          <w:color w:val="000000" w:themeColor="text1"/>
          <w:sz w:val="24"/>
          <w:szCs w:val="24"/>
        </w:rPr>
        <w:t>, changed risks,</w:t>
      </w:r>
      <w:r w:rsidRPr="21BD028B">
        <w:rPr>
          <w:color w:val="000000" w:themeColor="text1"/>
          <w:sz w:val="24"/>
          <w:szCs w:val="24"/>
        </w:rPr>
        <w:t xml:space="preserve"> and an equitable sharing of benefits. Lost revenues are calculated by considering the net income loss by the Company from procuring the PPA instead of building a project scaled to match the PPA.</w:t>
      </w:r>
      <w:r w:rsidR="00C931F0">
        <w:rPr>
          <w:color w:val="000000" w:themeColor="text1"/>
          <w:sz w:val="24"/>
          <w:szCs w:val="24"/>
        </w:rPr>
        <w:t xml:space="preserve"> </w:t>
      </w:r>
    </w:p>
    <w:p w14:paraId="2F3FA3FE" w14:textId="1103775D" w:rsidR="00B10A3E" w:rsidRPr="00B96516" w:rsidRDefault="00580390" w:rsidP="001C47F4">
      <w:pPr>
        <w:spacing w:line="360" w:lineRule="auto"/>
        <w:ind w:firstLine="720"/>
        <w:jc w:val="both"/>
        <w:rPr>
          <w:rFonts w:ascii="Arial" w:hAnsi="Arial" w:cs="Arial"/>
          <w:color w:val="000000"/>
          <w:sz w:val="24"/>
          <w:szCs w:val="24"/>
        </w:rPr>
      </w:pPr>
      <w:bookmarkStart w:id="27" w:name="_Hlk496273629"/>
      <w:r w:rsidRPr="009310AD">
        <w:rPr>
          <w:sz w:val="24"/>
          <w:szCs w:val="24"/>
        </w:rPr>
        <w:t xml:space="preserve">The </w:t>
      </w:r>
      <w:r w:rsidR="008B4CFE" w:rsidRPr="009310AD">
        <w:rPr>
          <w:sz w:val="24"/>
          <w:szCs w:val="24"/>
        </w:rPr>
        <w:t>20</w:t>
      </w:r>
      <w:r w:rsidR="00DC72F3" w:rsidRPr="009310AD">
        <w:rPr>
          <w:sz w:val="24"/>
          <w:szCs w:val="24"/>
        </w:rPr>
        <w:t>22</w:t>
      </w:r>
      <w:r w:rsidR="008B4CFE" w:rsidRPr="009310AD">
        <w:rPr>
          <w:sz w:val="24"/>
          <w:szCs w:val="24"/>
        </w:rPr>
        <w:t xml:space="preserve"> </w:t>
      </w:r>
      <w:r w:rsidRPr="009310AD">
        <w:rPr>
          <w:sz w:val="24"/>
          <w:szCs w:val="24"/>
        </w:rPr>
        <w:t xml:space="preserve">IRP Final Order </w:t>
      </w:r>
      <w:r w:rsidR="24066566" w:rsidRPr="1C03FCE1">
        <w:rPr>
          <w:sz w:val="24"/>
          <w:szCs w:val="24"/>
        </w:rPr>
        <w:t xml:space="preserve">provides for an </w:t>
      </w:r>
      <w:r w:rsidR="009F47FC" w:rsidRPr="009310AD">
        <w:rPr>
          <w:sz w:val="24"/>
          <w:szCs w:val="24"/>
        </w:rPr>
        <w:t>additional sum of $4.00/kW-year</w:t>
      </w:r>
      <w:r w:rsidR="28177B7F" w:rsidRPr="39A41858">
        <w:rPr>
          <w:sz w:val="24"/>
          <w:szCs w:val="24"/>
        </w:rPr>
        <w:t>, to be recovered on a levelized basis</w:t>
      </w:r>
      <w:r w:rsidR="00C931F0">
        <w:rPr>
          <w:sz w:val="24"/>
          <w:szCs w:val="24"/>
        </w:rPr>
        <w:t xml:space="preserve"> </w:t>
      </w:r>
      <w:r w:rsidRPr="009211A2">
        <w:rPr>
          <w:sz w:val="24"/>
          <w:szCs w:val="24"/>
        </w:rPr>
        <w:t xml:space="preserve">annually for the term of the </w:t>
      </w:r>
      <w:r w:rsidR="0088372F">
        <w:rPr>
          <w:sz w:val="24"/>
          <w:szCs w:val="24"/>
        </w:rPr>
        <w:t xml:space="preserve">Utility Scale Renewable </w:t>
      </w:r>
      <w:r w:rsidRPr="009211A2">
        <w:rPr>
          <w:sz w:val="24"/>
          <w:szCs w:val="24"/>
        </w:rPr>
        <w:t>PPAs.</w:t>
      </w:r>
      <w:bookmarkEnd w:id="27"/>
      <w:r w:rsidRPr="009211A2">
        <w:rPr>
          <w:sz w:val="24"/>
          <w:szCs w:val="24"/>
        </w:rPr>
        <w:t xml:space="preserve"> The Company is requesting an </w:t>
      </w:r>
      <w:r w:rsidR="0088372F">
        <w:rPr>
          <w:sz w:val="24"/>
          <w:szCs w:val="24"/>
        </w:rPr>
        <w:t>a</w:t>
      </w:r>
      <w:r w:rsidR="0088372F" w:rsidRPr="009211A2">
        <w:rPr>
          <w:sz w:val="24"/>
          <w:szCs w:val="24"/>
        </w:rPr>
        <w:t xml:space="preserve">dditional </w:t>
      </w:r>
      <w:r w:rsidR="0088372F">
        <w:rPr>
          <w:sz w:val="24"/>
          <w:szCs w:val="24"/>
        </w:rPr>
        <w:t>s</w:t>
      </w:r>
      <w:r w:rsidR="0088372F" w:rsidRPr="009211A2">
        <w:rPr>
          <w:sz w:val="24"/>
          <w:szCs w:val="24"/>
        </w:rPr>
        <w:t xml:space="preserve">um </w:t>
      </w:r>
      <w:r w:rsidR="00BF1FB4" w:rsidRPr="002F1036">
        <w:rPr>
          <w:sz w:val="24"/>
          <w:szCs w:val="24"/>
        </w:rPr>
        <w:t xml:space="preserve">for </w:t>
      </w:r>
      <w:r w:rsidR="009310AD">
        <w:rPr>
          <w:sz w:val="24"/>
          <w:szCs w:val="24"/>
        </w:rPr>
        <w:t xml:space="preserve">each </w:t>
      </w:r>
      <w:r w:rsidR="001610B3">
        <w:rPr>
          <w:sz w:val="24"/>
          <w:szCs w:val="24"/>
        </w:rPr>
        <w:t>PPA beginning on the Facility’s COD</w:t>
      </w:r>
      <w:r w:rsidR="008A26F5">
        <w:rPr>
          <w:sz w:val="24"/>
          <w:szCs w:val="24"/>
        </w:rPr>
        <w:t>.</w:t>
      </w:r>
      <w:r>
        <w:rPr>
          <w:sz w:val="24"/>
          <w:szCs w:val="24"/>
        </w:rPr>
        <w:t xml:space="preserve"> </w:t>
      </w:r>
    </w:p>
    <w:p w14:paraId="378301DE" w14:textId="188DF259" w:rsidR="00B10A3E" w:rsidRPr="007C70C4" w:rsidRDefault="00580390" w:rsidP="00C15423">
      <w:pPr>
        <w:pStyle w:val="Heading1"/>
        <w:keepNext/>
        <w:tabs>
          <w:tab w:val="clear" w:pos="360"/>
          <w:tab w:val="left" w:pos="720"/>
        </w:tabs>
        <w:spacing w:before="120" w:after="120" w:line="360" w:lineRule="auto"/>
      </w:pPr>
      <w:bookmarkStart w:id="28" w:name="_Toc191504511"/>
      <w:r>
        <w:t>Conclusion</w:t>
      </w:r>
      <w:bookmarkEnd w:id="28"/>
    </w:p>
    <w:p w14:paraId="37EB7D23" w14:textId="0A16623D" w:rsidR="00B10A3E" w:rsidRDefault="00580390" w:rsidP="001C47F4">
      <w:pPr>
        <w:keepNext/>
        <w:spacing w:after="120" w:line="360" w:lineRule="auto"/>
        <w:ind w:firstLine="720"/>
        <w:jc w:val="both"/>
        <w:rPr>
          <w:sz w:val="24"/>
          <w:szCs w:val="24"/>
        </w:rPr>
      </w:pPr>
      <w:r w:rsidRPr="00F56A8B">
        <w:rPr>
          <w:sz w:val="24"/>
          <w:szCs w:val="24"/>
        </w:rPr>
        <w:t>The</w:t>
      </w:r>
      <w:r w:rsidR="0088372F" w:rsidRPr="00F56A8B" w:rsidDel="007E4C9A">
        <w:rPr>
          <w:sz w:val="24"/>
          <w:szCs w:val="24"/>
        </w:rPr>
        <w:t xml:space="preserve"> </w:t>
      </w:r>
      <w:r w:rsidR="007E4C9A" w:rsidRPr="00CC1191">
        <w:rPr>
          <w:sz w:val="24"/>
          <w:szCs w:val="24"/>
        </w:rPr>
        <w:t xml:space="preserve">five </w:t>
      </w:r>
      <w:r w:rsidR="009F47FC">
        <w:rPr>
          <w:sz w:val="24"/>
          <w:szCs w:val="24"/>
        </w:rPr>
        <w:t>CARES 2023</w:t>
      </w:r>
      <w:r>
        <w:rPr>
          <w:sz w:val="24"/>
          <w:szCs w:val="24"/>
        </w:rPr>
        <w:t xml:space="preserve"> PPAs</w:t>
      </w:r>
      <w:r w:rsidR="0088372F">
        <w:rPr>
          <w:sz w:val="24"/>
          <w:szCs w:val="24"/>
        </w:rPr>
        <w:t xml:space="preserve"> contracted to deliver </w:t>
      </w:r>
      <w:r w:rsidR="007207D6">
        <w:rPr>
          <w:sz w:val="24"/>
          <w:szCs w:val="24"/>
        </w:rPr>
        <w:t xml:space="preserve">energy </w:t>
      </w:r>
      <w:r w:rsidR="007207D6" w:rsidRPr="000125E4">
        <w:rPr>
          <w:sz w:val="24"/>
          <w:szCs w:val="24"/>
        </w:rPr>
        <w:t xml:space="preserve">from </w:t>
      </w:r>
      <w:r w:rsidR="00736139" w:rsidRPr="000125E4">
        <w:rPr>
          <w:sz w:val="24"/>
          <w:szCs w:val="24"/>
        </w:rPr>
        <w:t>1</w:t>
      </w:r>
      <w:r w:rsidR="00243BA5" w:rsidRPr="000125E4">
        <w:rPr>
          <w:sz w:val="24"/>
          <w:szCs w:val="24"/>
        </w:rPr>
        <w:t>,</w:t>
      </w:r>
      <w:r w:rsidR="004978D8">
        <w:rPr>
          <w:sz w:val="24"/>
          <w:szCs w:val="24"/>
        </w:rPr>
        <w:t>068</w:t>
      </w:r>
      <w:r w:rsidR="004978D8" w:rsidRPr="000125E4">
        <w:rPr>
          <w:sz w:val="24"/>
          <w:szCs w:val="24"/>
        </w:rPr>
        <w:t xml:space="preserve"> </w:t>
      </w:r>
      <w:r w:rsidR="0088372F" w:rsidRPr="000125E4">
        <w:rPr>
          <w:sz w:val="24"/>
          <w:szCs w:val="24"/>
        </w:rPr>
        <w:t xml:space="preserve">MW </w:t>
      </w:r>
      <w:r w:rsidR="00DB1E29" w:rsidRPr="000125E4">
        <w:rPr>
          <w:sz w:val="24"/>
          <w:szCs w:val="24"/>
        </w:rPr>
        <w:t xml:space="preserve">of </w:t>
      </w:r>
      <w:r w:rsidR="009F47FC" w:rsidRPr="000125E4">
        <w:rPr>
          <w:sz w:val="24"/>
          <w:szCs w:val="24"/>
        </w:rPr>
        <w:t xml:space="preserve">solar and solar plus storage </w:t>
      </w:r>
      <w:r w:rsidR="008A2AFB">
        <w:rPr>
          <w:sz w:val="24"/>
          <w:szCs w:val="24"/>
        </w:rPr>
        <w:t>resources</w:t>
      </w:r>
      <w:r w:rsidR="008A2AFB" w:rsidRPr="000125E4">
        <w:rPr>
          <w:sz w:val="24"/>
          <w:szCs w:val="24"/>
        </w:rPr>
        <w:t xml:space="preserve"> </w:t>
      </w:r>
      <w:r w:rsidRPr="000125E4">
        <w:rPr>
          <w:sz w:val="24"/>
          <w:szCs w:val="24"/>
        </w:rPr>
        <w:t>were selected as the best cost offers in the</w:t>
      </w:r>
      <w:r w:rsidR="00920B61" w:rsidRPr="000125E4">
        <w:rPr>
          <w:sz w:val="24"/>
          <w:szCs w:val="24"/>
        </w:rPr>
        <w:t xml:space="preserve"> </w:t>
      </w:r>
      <w:r w:rsidR="009D5061" w:rsidRPr="000125E4">
        <w:rPr>
          <w:sz w:val="24"/>
          <w:szCs w:val="24"/>
        </w:rPr>
        <w:t xml:space="preserve">CARES </w:t>
      </w:r>
      <w:r w:rsidR="00920B61" w:rsidRPr="000125E4">
        <w:rPr>
          <w:sz w:val="24"/>
          <w:szCs w:val="24"/>
        </w:rPr>
        <w:t>2023</w:t>
      </w:r>
      <w:r w:rsidRPr="000125E4">
        <w:rPr>
          <w:sz w:val="24"/>
          <w:szCs w:val="24"/>
        </w:rPr>
        <w:t xml:space="preserve"> </w:t>
      </w:r>
      <w:r w:rsidR="009F47FC" w:rsidRPr="000125E4">
        <w:rPr>
          <w:sz w:val="24"/>
          <w:szCs w:val="24"/>
        </w:rPr>
        <w:t>US</w:t>
      </w:r>
      <w:r w:rsidR="00800DFB" w:rsidRPr="000125E4">
        <w:rPr>
          <w:sz w:val="24"/>
          <w:szCs w:val="24"/>
        </w:rPr>
        <w:t xml:space="preserve"> </w:t>
      </w:r>
      <w:r w:rsidR="0088372F" w:rsidRPr="000125E4">
        <w:rPr>
          <w:sz w:val="24"/>
          <w:szCs w:val="24"/>
        </w:rPr>
        <w:t>RFP</w:t>
      </w:r>
      <w:r w:rsidRPr="000125E4">
        <w:rPr>
          <w:sz w:val="24"/>
          <w:szCs w:val="24"/>
        </w:rPr>
        <w:t xml:space="preserve">. </w:t>
      </w:r>
      <w:r w:rsidR="0088372F" w:rsidRPr="000125E4">
        <w:rPr>
          <w:sz w:val="24"/>
          <w:szCs w:val="24"/>
        </w:rPr>
        <w:t xml:space="preserve">Procuring </w:t>
      </w:r>
      <w:r w:rsidR="00736139" w:rsidRPr="000125E4">
        <w:rPr>
          <w:sz w:val="24"/>
          <w:szCs w:val="24"/>
        </w:rPr>
        <w:t>1</w:t>
      </w:r>
      <w:r w:rsidR="004B0943" w:rsidRPr="000125E4">
        <w:rPr>
          <w:sz w:val="24"/>
          <w:szCs w:val="24"/>
        </w:rPr>
        <w:t>,</w:t>
      </w:r>
      <w:r w:rsidR="004978D8">
        <w:rPr>
          <w:sz w:val="24"/>
          <w:szCs w:val="24"/>
        </w:rPr>
        <w:t>068</w:t>
      </w:r>
      <w:r w:rsidR="004978D8" w:rsidRPr="000125E4">
        <w:rPr>
          <w:sz w:val="24"/>
          <w:szCs w:val="24"/>
        </w:rPr>
        <w:t xml:space="preserve"> </w:t>
      </w:r>
      <w:r w:rsidRPr="000125E4">
        <w:rPr>
          <w:sz w:val="24"/>
          <w:szCs w:val="24"/>
        </w:rPr>
        <w:t xml:space="preserve">MW is </w:t>
      </w:r>
      <w:r w:rsidR="00920B61" w:rsidRPr="000125E4">
        <w:rPr>
          <w:sz w:val="24"/>
          <w:szCs w:val="24"/>
        </w:rPr>
        <w:t>with</w:t>
      </w:r>
      <w:r w:rsidR="007207D6" w:rsidRPr="000125E4">
        <w:rPr>
          <w:sz w:val="24"/>
          <w:szCs w:val="24"/>
        </w:rPr>
        <w:t>in the range of</w:t>
      </w:r>
      <w:r w:rsidR="00920B61" w:rsidRPr="000125E4">
        <w:rPr>
          <w:sz w:val="24"/>
          <w:szCs w:val="24"/>
        </w:rPr>
        <w:t xml:space="preserve"> </w:t>
      </w:r>
      <w:r w:rsidRPr="000125E4">
        <w:rPr>
          <w:sz w:val="24"/>
          <w:szCs w:val="24"/>
        </w:rPr>
        <w:t xml:space="preserve">the </w:t>
      </w:r>
      <w:bookmarkStart w:id="29" w:name="_Hlk191379372"/>
      <w:r w:rsidR="009D5061" w:rsidRPr="000125E4">
        <w:rPr>
          <w:sz w:val="24"/>
          <w:szCs w:val="24"/>
        </w:rPr>
        <w:t>2,875</w:t>
      </w:r>
      <w:r w:rsidR="00920B61" w:rsidRPr="000125E4">
        <w:rPr>
          <w:sz w:val="24"/>
          <w:szCs w:val="24"/>
        </w:rPr>
        <w:t xml:space="preserve"> </w:t>
      </w:r>
      <w:bookmarkEnd w:id="29"/>
      <w:r w:rsidRPr="000125E4">
        <w:rPr>
          <w:sz w:val="24"/>
          <w:szCs w:val="24"/>
        </w:rPr>
        <w:t>MW</w:t>
      </w:r>
      <w:r w:rsidRPr="009D5061">
        <w:rPr>
          <w:sz w:val="24"/>
          <w:szCs w:val="24"/>
        </w:rPr>
        <w:t xml:space="preserve"> </w:t>
      </w:r>
      <w:r w:rsidR="00DB1E29" w:rsidRPr="009D5061">
        <w:rPr>
          <w:sz w:val="24"/>
          <w:szCs w:val="24"/>
        </w:rPr>
        <w:t xml:space="preserve">originally </w:t>
      </w:r>
      <w:r w:rsidRPr="009D5061">
        <w:rPr>
          <w:sz w:val="24"/>
          <w:szCs w:val="24"/>
        </w:rPr>
        <w:t>sought.</w:t>
      </w:r>
      <w:r>
        <w:rPr>
          <w:sz w:val="24"/>
          <w:szCs w:val="24"/>
        </w:rPr>
        <w:t xml:space="preserve"> </w:t>
      </w:r>
      <w:r w:rsidR="009F47FC">
        <w:rPr>
          <w:sz w:val="24"/>
          <w:szCs w:val="24"/>
        </w:rPr>
        <w:t xml:space="preserve">Georgia Power conducted the </w:t>
      </w:r>
      <w:r>
        <w:rPr>
          <w:sz w:val="24"/>
          <w:szCs w:val="24"/>
        </w:rPr>
        <w:t xml:space="preserve">RFP process </w:t>
      </w:r>
      <w:r w:rsidR="003B7D39">
        <w:rPr>
          <w:sz w:val="24"/>
          <w:szCs w:val="24"/>
        </w:rPr>
        <w:t xml:space="preserve">in accordance with the Commission’s RFP rules, which </w:t>
      </w:r>
      <w:r>
        <w:rPr>
          <w:sz w:val="24"/>
          <w:szCs w:val="24"/>
        </w:rPr>
        <w:t xml:space="preserve">ensured fair and equal treatment of all bidders. The IE and Commission Staff were involved throughout </w:t>
      </w:r>
      <w:r w:rsidRPr="00EC2BA2">
        <w:rPr>
          <w:sz w:val="24"/>
          <w:szCs w:val="24"/>
        </w:rPr>
        <w:t>the process</w:t>
      </w:r>
      <w:r w:rsidR="2ADC1018" w:rsidRPr="68D3AA32">
        <w:rPr>
          <w:sz w:val="24"/>
          <w:szCs w:val="24"/>
        </w:rPr>
        <w:t xml:space="preserve">, </w:t>
      </w:r>
      <w:r w:rsidRPr="00EC2BA2">
        <w:rPr>
          <w:sz w:val="24"/>
          <w:szCs w:val="24"/>
        </w:rPr>
        <w:t>from the</w:t>
      </w:r>
      <w:r>
        <w:rPr>
          <w:sz w:val="24"/>
          <w:szCs w:val="24"/>
        </w:rPr>
        <w:t xml:space="preserve"> development of the RFP Documents through the evaluation of bids, selection of the Competitive Tier and Short List, and execution of the final PPAs. The use of the IE Website </w:t>
      </w:r>
      <w:r>
        <w:rPr>
          <w:sz w:val="24"/>
          <w:szCs w:val="24"/>
        </w:rPr>
        <w:lastRenderedPageBreak/>
        <w:t xml:space="preserve">for questions and comments regarding this RFP further ensured that the process was fair </w:t>
      </w:r>
      <w:r w:rsidR="21378188" w:rsidRPr="68D3AA32">
        <w:rPr>
          <w:sz w:val="24"/>
          <w:szCs w:val="24"/>
        </w:rPr>
        <w:t>and</w:t>
      </w:r>
      <w:r>
        <w:rPr>
          <w:sz w:val="24"/>
          <w:szCs w:val="24"/>
        </w:rPr>
        <w:t xml:space="preserve"> also transparent to all participants. The evaluation process involved a </w:t>
      </w:r>
      <w:r w:rsidR="59C0584D" w:rsidRPr="68D3AA32">
        <w:rPr>
          <w:sz w:val="24"/>
          <w:szCs w:val="24"/>
        </w:rPr>
        <w:t xml:space="preserve">fair and </w:t>
      </w:r>
      <w:r>
        <w:rPr>
          <w:sz w:val="24"/>
          <w:szCs w:val="24"/>
        </w:rPr>
        <w:t>thorough analysis of all</w:t>
      </w:r>
      <w:r w:rsidR="00C931F0">
        <w:rPr>
          <w:sz w:val="24"/>
          <w:szCs w:val="24"/>
        </w:rPr>
        <w:t xml:space="preserve"> </w:t>
      </w:r>
      <w:r>
        <w:rPr>
          <w:sz w:val="24"/>
          <w:szCs w:val="24"/>
        </w:rPr>
        <w:t>proposals</w:t>
      </w:r>
      <w:r w:rsidR="009F153E">
        <w:rPr>
          <w:sz w:val="24"/>
          <w:szCs w:val="24"/>
        </w:rPr>
        <w:t>.</w:t>
      </w:r>
      <w:r>
        <w:rPr>
          <w:sz w:val="24"/>
          <w:szCs w:val="24"/>
        </w:rPr>
        <w:t xml:space="preserve"> </w:t>
      </w:r>
      <w:r w:rsidR="56C5A1DD" w:rsidRPr="68D3AA32">
        <w:rPr>
          <w:sz w:val="24"/>
          <w:szCs w:val="24"/>
        </w:rPr>
        <w:t>T</w:t>
      </w:r>
      <w:r w:rsidRPr="68D3AA32">
        <w:rPr>
          <w:sz w:val="24"/>
          <w:szCs w:val="24"/>
        </w:rPr>
        <w:t>he</w:t>
      </w:r>
      <w:r>
        <w:rPr>
          <w:sz w:val="24"/>
          <w:szCs w:val="24"/>
        </w:rPr>
        <w:t xml:space="preserve"> projects selected for certification represent the best cost proposals for meeting </w:t>
      </w:r>
      <w:r w:rsidRPr="00EC2BA2">
        <w:rPr>
          <w:sz w:val="24"/>
          <w:szCs w:val="24"/>
        </w:rPr>
        <w:t>the</w:t>
      </w:r>
      <w:r w:rsidR="00EC2BA2" w:rsidRPr="00EC2BA2">
        <w:rPr>
          <w:sz w:val="24"/>
          <w:szCs w:val="24"/>
        </w:rPr>
        <w:t xml:space="preserve"> CARES </w:t>
      </w:r>
      <w:r w:rsidR="007C6D65" w:rsidRPr="00EC2BA2">
        <w:rPr>
          <w:sz w:val="24"/>
          <w:szCs w:val="24"/>
        </w:rPr>
        <w:t xml:space="preserve">2023 </w:t>
      </w:r>
      <w:r w:rsidR="003B7D39">
        <w:rPr>
          <w:sz w:val="24"/>
          <w:szCs w:val="24"/>
        </w:rPr>
        <w:t>US</w:t>
      </w:r>
      <w:r w:rsidR="00BF1FCA">
        <w:rPr>
          <w:sz w:val="24"/>
          <w:szCs w:val="24"/>
        </w:rPr>
        <w:t xml:space="preserve"> RFP </w:t>
      </w:r>
      <w:r w:rsidRPr="68D3AA32">
        <w:rPr>
          <w:sz w:val="24"/>
          <w:szCs w:val="24"/>
        </w:rPr>
        <w:t>p</w:t>
      </w:r>
      <w:r w:rsidR="55555340" w:rsidRPr="68D3AA32">
        <w:rPr>
          <w:sz w:val="24"/>
          <w:szCs w:val="24"/>
        </w:rPr>
        <w:t>rocurement</w:t>
      </w:r>
      <w:r>
        <w:rPr>
          <w:sz w:val="24"/>
          <w:szCs w:val="24"/>
        </w:rPr>
        <w:t xml:space="preserve"> target.</w:t>
      </w:r>
    </w:p>
    <w:p w14:paraId="2533E49D" w14:textId="421688E2" w:rsidR="00B10A3E" w:rsidRPr="00F51E36" w:rsidRDefault="00800DFB" w:rsidP="001C47F4">
      <w:pPr>
        <w:spacing w:after="120" w:line="360" w:lineRule="auto"/>
        <w:ind w:firstLine="720"/>
        <w:jc w:val="both"/>
        <w:rPr>
          <w:b/>
          <w:bCs/>
          <w:sz w:val="24"/>
          <w:szCs w:val="24"/>
        </w:rPr>
        <w:sectPr w:rsidR="00B10A3E" w:rsidRPr="00F51E36" w:rsidSect="00FB3986">
          <w:headerReference w:type="default" r:id="rId21"/>
          <w:footerReference w:type="default" r:id="rId22"/>
          <w:headerReference w:type="first" r:id="rId23"/>
          <w:footerReference w:type="first" r:id="rId24"/>
          <w:pgSz w:w="12240" w:h="15840" w:code="1"/>
          <w:pgMar w:top="1440" w:right="1440" w:bottom="1440" w:left="1440" w:header="576" w:footer="720" w:gutter="0"/>
          <w:cols w:space="720"/>
          <w:noEndnote/>
          <w:titlePg/>
        </w:sectPr>
      </w:pPr>
      <w:r w:rsidRPr="009211A2">
        <w:rPr>
          <w:sz w:val="24"/>
          <w:szCs w:val="24"/>
        </w:rPr>
        <w:t xml:space="preserve">For </w:t>
      </w:r>
      <w:r w:rsidR="03408073" w:rsidRPr="3A7547CF">
        <w:rPr>
          <w:sz w:val="24"/>
          <w:szCs w:val="24"/>
        </w:rPr>
        <w:t>the reasons set forth herein above</w:t>
      </w:r>
      <w:r w:rsidR="752E2E5D" w:rsidRPr="2BA78149">
        <w:rPr>
          <w:sz w:val="24"/>
          <w:szCs w:val="24"/>
        </w:rPr>
        <w:t xml:space="preserve"> and</w:t>
      </w:r>
      <w:r w:rsidR="00580390" w:rsidRPr="009211A2">
        <w:rPr>
          <w:sz w:val="24"/>
          <w:szCs w:val="24"/>
        </w:rPr>
        <w:t xml:space="preserve">, to </w:t>
      </w:r>
      <w:r w:rsidR="21467474" w:rsidRPr="53E551B6">
        <w:rPr>
          <w:sz w:val="24"/>
          <w:szCs w:val="24"/>
        </w:rPr>
        <w:t>continue to provide</w:t>
      </w:r>
      <w:r w:rsidR="02885AA1" w:rsidRPr="53E551B6">
        <w:rPr>
          <w:sz w:val="24"/>
          <w:szCs w:val="24"/>
        </w:rPr>
        <w:t xml:space="preserve"> an economical and diverse generation resource mix for the benefit of customers</w:t>
      </w:r>
      <w:r w:rsidR="00580390" w:rsidRPr="009211A2">
        <w:rPr>
          <w:sz w:val="24"/>
          <w:szCs w:val="24"/>
        </w:rPr>
        <w:t xml:space="preserve">, the Company requests the Commission grant a certificate of public convenience and necessity for the </w:t>
      </w:r>
      <w:r w:rsidR="004978D8">
        <w:rPr>
          <w:sz w:val="24"/>
          <w:szCs w:val="24"/>
        </w:rPr>
        <w:t xml:space="preserve">five </w:t>
      </w:r>
      <w:r w:rsidR="003B7D39">
        <w:rPr>
          <w:sz w:val="24"/>
          <w:szCs w:val="24"/>
        </w:rPr>
        <w:t>CARES 2023</w:t>
      </w:r>
      <w:r w:rsidR="00F51E36" w:rsidRPr="009211A2">
        <w:rPr>
          <w:sz w:val="24"/>
          <w:szCs w:val="24"/>
        </w:rPr>
        <w:t xml:space="preserve"> PPAs</w:t>
      </w:r>
      <w:r w:rsidR="00461BE4">
        <w:rPr>
          <w:sz w:val="24"/>
          <w:szCs w:val="24"/>
        </w:rPr>
        <w:t xml:space="preserve"> and approve the requested </w:t>
      </w:r>
      <w:r w:rsidR="003B7D39">
        <w:rPr>
          <w:sz w:val="24"/>
          <w:szCs w:val="24"/>
        </w:rPr>
        <w:t>additional sum</w:t>
      </w:r>
      <w:r w:rsidR="00F51E36" w:rsidRPr="009211A2">
        <w:rPr>
          <w:sz w:val="24"/>
          <w:szCs w:val="24"/>
        </w:rPr>
        <w:t>.</w:t>
      </w:r>
      <w:r w:rsidR="007C6D65" w:rsidRPr="009211A2">
        <w:rPr>
          <w:sz w:val="24"/>
          <w:szCs w:val="24"/>
        </w:rPr>
        <w:t xml:space="preserve"> </w:t>
      </w:r>
    </w:p>
    <w:p w14:paraId="52D63180" w14:textId="77777777" w:rsidR="00B10A3E" w:rsidRPr="008A4590" w:rsidRDefault="00580390" w:rsidP="00B10A3E">
      <w:pPr>
        <w:spacing w:line="360" w:lineRule="auto"/>
        <w:jc w:val="center"/>
        <w:rPr>
          <w:b/>
          <w:sz w:val="28"/>
          <w:szCs w:val="28"/>
        </w:rPr>
      </w:pPr>
      <w:r w:rsidRPr="008A4590">
        <w:rPr>
          <w:b/>
          <w:sz w:val="28"/>
          <w:szCs w:val="28"/>
        </w:rPr>
        <w:lastRenderedPageBreak/>
        <w:t>APPENDIX A</w:t>
      </w:r>
    </w:p>
    <w:p w14:paraId="7E35ECDD" w14:textId="77777777" w:rsidR="00B10A3E" w:rsidRPr="008A4590" w:rsidRDefault="00B10A3E" w:rsidP="00B10A3E">
      <w:pPr>
        <w:spacing w:line="360" w:lineRule="auto"/>
        <w:jc w:val="center"/>
        <w:rPr>
          <w:b/>
          <w:sz w:val="28"/>
          <w:szCs w:val="28"/>
        </w:rPr>
      </w:pPr>
    </w:p>
    <w:p w14:paraId="75CCD3AB" w14:textId="15EC0F5D" w:rsidR="00B10A3E" w:rsidRPr="008A4590" w:rsidRDefault="00580390" w:rsidP="00B10A3E">
      <w:pPr>
        <w:spacing w:line="360" w:lineRule="auto"/>
        <w:jc w:val="center"/>
        <w:rPr>
          <w:b/>
          <w:sz w:val="28"/>
          <w:szCs w:val="28"/>
        </w:rPr>
      </w:pPr>
      <w:r w:rsidRPr="008A4590">
        <w:rPr>
          <w:b/>
          <w:sz w:val="28"/>
          <w:szCs w:val="28"/>
        </w:rPr>
        <w:t xml:space="preserve">Electronic Copies of the </w:t>
      </w:r>
      <w:r w:rsidR="00045061">
        <w:rPr>
          <w:b/>
          <w:sz w:val="28"/>
          <w:szCs w:val="28"/>
        </w:rPr>
        <w:t xml:space="preserve">Utility Scale Renewable </w:t>
      </w:r>
      <w:r w:rsidRPr="008A4590">
        <w:rPr>
          <w:b/>
          <w:sz w:val="28"/>
          <w:szCs w:val="28"/>
        </w:rPr>
        <w:t>PPAs have been attached as separate PDF files.</w:t>
      </w:r>
    </w:p>
    <w:p w14:paraId="4DE12ADA" w14:textId="77777777" w:rsidR="00B10A3E" w:rsidRPr="0030312D" w:rsidRDefault="00580390" w:rsidP="00B10A3E">
      <w:pPr>
        <w:spacing w:line="360" w:lineRule="auto"/>
        <w:rPr>
          <w:b/>
          <w:sz w:val="32"/>
          <w:szCs w:val="32"/>
        </w:rPr>
      </w:pPr>
      <w:r w:rsidRPr="0030312D">
        <w:rPr>
          <w:b/>
          <w:sz w:val="32"/>
          <w:szCs w:val="32"/>
        </w:rPr>
        <w:t xml:space="preserve"> </w:t>
      </w:r>
    </w:p>
    <w:p w14:paraId="5235BE0B" w14:textId="77777777" w:rsidR="00B10A3E" w:rsidRPr="006531C0" w:rsidRDefault="00B10A3E" w:rsidP="00B10A3E">
      <w:pPr>
        <w:spacing w:line="360" w:lineRule="auto"/>
        <w:rPr>
          <w:szCs w:val="32"/>
        </w:rPr>
      </w:pPr>
    </w:p>
    <w:sectPr w:rsidR="00B10A3E" w:rsidRPr="006531C0" w:rsidSect="00B10A3E">
      <w:footerReference w:type="default" r:id="rId25"/>
      <w:footerReference w:type="first" r:id="rId26"/>
      <w:pgSz w:w="12240" w:h="15840" w:code="1"/>
      <w:pgMar w:top="1440" w:right="1440" w:bottom="1440" w:left="1440" w:header="576"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F88D3" w14:textId="77777777" w:rsidR="00C605A2" w:rsidRDefault="00C605A2">
      <w:r>
        <w:separator/>
      </w:r>
    </w:p>
  </w:endnote>
  <w:endnote w:type="continuationSeparator" w:id="0">
    <w:p w14:paraId="3C6BE4F7" w14:textId="77777777" w:rsidR="00C605A2" w:rsidRDefault="00C605A2">
      <w:r>
        <w:continuationSeparator/>
      </w:r>
    </w:p>
  </w:endnote>
  <w:endnote w:type="continuationNotice" w:id="1">
    <w:p w14:paraId="143540F3" w14:textId="77777777" w:rsidR="00C605A2" w:rsidRDefault="00C60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5295" w14:textId="7F60EA88" w:rsidR="00C82EE3" w:rsidRDefault="00C82EE3">
    <w:pPr>
      <w:pStyle w:val="Footer"/>
    </w:pPr>
  </w:p>
  <w:p w14:paraId="7C626F44" w14:textId="77777777" w:rsidR="008C0530" w:rsidRDefault="008C0530" w:rsidP="00C82EE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9C448" w14:textId="77777777" w:rsidR="00C82EE3" w:rsidRDefault="00C82EE3" w:rsidP="004C2B1B">
    <w:pPr>
      <w:pStyle w:val="Footer"/>
    </w:pPr>
  </w:p>
  <w:p w14:paraId="05DFAEAD" w14:textId="77777777" w:rsidR="008C0530" w:rsidRDefault="008C0530" w:rsidP="00C82E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47C30" w14:textId="77777777" w:rsidR="00C82EE3" w:rsidRDefault="00C82EE3">
    <w:pPr>
      <w:pStyle w:val="Footer"/>
    </w:pPr>
  </w:p>
  <w:p w14:paraId="301700B1" w14:textId="77777777" w:rsidR="008C0530" w:rsidRDefault="008C0530" w:rsidP="00C82E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83175" w14:textId="18C9E2B2" w:rsidR="008C0530" w:rsidRDefault="00421F4B" w:rsidP="004B7EDC">
    <w:pPr>
      <w:pStyle w:val="Footer"/>
      <w:jc w:val="center"/>
      <w:rPr>
        <w:rFonts w:ascii="Times New Roman" w:hAnsi="Times New Roman"/>
      </w:rPr>
    </w:pPr>
    <w:r w:rsidRPr="00AF3C12">
      <w:rPr>
        <w:rFonts w:ascii="Times New Roman" w:hAnsi="Times New Roman"/>
      </w:rPr>
      <w:fldChar w:fldCharType="begin"/>
    </w:r>
    <w:r w:rsidRPr="00AF3C12">
      <w:rPr>
        <w:rFonts w:ascii="Times New Roman" w:hAnsi="Times New Roman"/>
      </w:rPr>
      <w:instrText xml:space="preserve"> PAGE   \* MERGEFORMAT </w:instrText>
    </w:r>
    <w:r w:rsidRPr="00AF3C12">
      <w:rPr>
        <w:rFonts w:ascii="Times New Roman" w:hAnsi="Times New Roman"/>
      </w:rPr>
      <w:fldChar w:fldCharType="separate"/>
    </w:r>
    <w:r>
      <w:rPr>
        <w:rFonts w:ascii="Times New Roman" w:hAnsi="Times New Roman"/>
        <w:noProof/>
      </w:rPr>
      <w:t>i</w:t>
    </w:r>
    <w:r w:rsidRPr="00AF3C12">
      <w:rPr>
        <w:rFonts w:ascii="Times New Roman" w:hAnsi="Times New Roman"/>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E4158" w14:textId="242CE15F" w:rsidR="008C0530" w:rsidRDefault="00421F4B" w:rsidP="004B7EDC">
    <w:pPr>
      <w:pStyle w:val="Footer"/>
      <w:jc w:val="center"/>
      <w:rPr>
        <w:rFonts w:ascii="Times New Roman" w:hAnsi="Times New Roman"/>
      </w:rPr>
    </w:pPr>
    <w:r w:rsidRPr="00311056">
      <w:rPr>
        <w:rFonts w:ascii="Times New Roman" w:hAnsi="Times New Roman"/>
      </w:rPr>
      <w:fldChar w:fldCharType="begin"/>
    </w:r>
    <w:r w:rsidRPr="00311056">
      <w:rPr>
        <w:rFonts w:ascii="Times New Roman" w:hAnsi="Times New Roman"/>
      </w:rPr>
      <w:instrText xml:space="preserve"> PAGE   \* MERGEFORMAT </w:instrText>
    </w:r>
    <w:r w:rsidRPr="00311056">
      <w:rPr>
        <w:rFonts w:ascii="Times New Roman" w:hAnsi="Times New Roman"/>
      </w:rPr>
      <w:fldChar w:fldCharType="separate"/>
    </w:r>
    <w:r>
      <w:rPr>
        <w:rFonts w:ascii="Times New Roman" w:hAnsi="Times New Roman"/>
        <w:noProof/>
      </w:rPr>
      <w:t>12</w:t>
    </w:r>
    <w:r w:rsidRPr="00311056">
      <w:rPr>
        <w:rFonts w:ascii="Times New Roman" w:hAnsi="Times New Roman"/>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EBAFA" w14:textId="41690206" w:rsidR="008C0530" w:rsidRDefault="00421F4B" w:rsidP="003F5A00">
    <w:pPr>
      <w:pStyle w:val="Footer"/>
      <w:spacing w:before="360"/>
      <w:jc w:val="center"/>
      <w:rPr>
        <w:rFonts w:ascii="Times New Roman" w:hAnsi="Times New Roman"/>
      </w:rPr>
    </w:pPr>
    <w:r w:rsidRPr="00AF3C12">
      <w:rPr>
        <w:rFonts w:ascii="Times New Roman" w:hAnsi="Times New Roman"/>
      </w:rPr>
      <w:fldChar w:fldCharType="begin"/>
    </w:r>
    <w:r w:rsidRPr="00AF3C12">
      <w:rPr>
        <w:rFonts w:ascii="Times New Roman" w:hAnsi="Times New Roman"/>
      </w:rPr>
      <w:instrText xml:space="preserve"> PAGE   \* MERGEFORMAT </w:instrText>
    </w:r>
    <w:r w:rsidRPr="00AF3C12">
      <w:rPr>
        <w:rFonts w:ascii="Times New Roman" w:hAnsi="Times New Roman"/>
      </w:rPr>
      <w:fldChar w:fldCharType="separate"/>
    </w:r>
    <w:r>
      <w:rPr>
        <w:rFonts w:ascii="Times New Roman" w:hAnsi="Times New Roman"/>
        <w:noProof/>
      </w:rPr>
      <w:t>1</w:t>
    </w:r>
    <w:r w:rsidRPr="00AF3C12">
      <w:rPr>
        <w:rFonts w:ascii="Times New Roman" w:hAnsi="Times New Roman"/>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A8D94" w14:textId="77777777" w:rsidR="00A9600D" w:rsidRDefault="00115405" w:rsidP="000F0FB5">
    <w:pPr>
      <w:pStyle w:val="Footer"/>
      <w:tabs>
        <w:tab w:val="clear" w:pos="4320"/>
        <w:tab w:val="clear" w:pos="8640"/>
      </w:tabs>
      <w:ind w:left="720" w:right="90"/>
      <w:jc w:val="center"/>
      <w:rPr>
        <w:rFonts w:ascii="Times New Roman" w:hAnsi="Times New Roman"/>
      </w:rPr>
    </w:pPr>
    <w:r w:rsidRPr="00311056">
      <w:rPr>
        <w:rFonts w:ascii="Times New Roman" w:hAnsi="Times New Roman"/>
      </w:rPr>
      <w:fldChar w:fldCharType="begin"/>
    </w:r>
    <w:r w:rsidRPr="00311056">
      <w:rPr>
        <w:rFonts w:ascii="Times New Roman" w:hAnsi="Times New Roman"/>
      </w:rPr>
      <w:instrText xml:space="preserve"> PAGE   \* MERGEFORMAT </w:instrText>
    </w:r>
    <w:r w:rsidRPr="00311056">
      <w:rPr>
        <w:rFonts w:ascii="Times New Roman" w:hAnsi="Times New Roman"/>
      </w:rPr>
      <w:fldChar w:fldCharType="separate"/>
    </w:r>
    <w:r>
      <w:rPr>
        <w:rFonts w:ascii="Times New Roman" w:hAnsi="Times New Roman"/>
        <w:noProof/>
      </w:rPr>
      <w:t>12</w:t>
    </w:r>
    <w:r w:rsidRPr="00311056">
      <w:rPr>
        <w:rFonts w:ascii="Times New Roman" w:hAnsi="Times New Roman"/>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725B3" w14:textId="77777777" w:rsidR="00A9600D" w:rsidRDefault="000F0FB5" w:rsidP="000F0FB5">
    <w:pPr>
      <w:pStyle w:val="Footer"/>
      <w:tabs>
        <w:tab w:val="clear" w:pos="4320"/>
        <w:tab w:val="clear" w:pos="8640"/>
      </w:tabs>
      <w:jc w:val="center"/>
      <w:rPr>
        <w:rFonts w:ascii="Times New Roman" w:hAnsi="Times New Roman"/>
      </w:rPr>
    </w:pPr>
    <w:r w:rsidRPr="00311056">
      <w:rPr>
        <w:rFonts w:ascii="Times New Roman" w:hAnsi="Times New Roman"/>
      </w:rPr>
      <w:fldChar w:fldCharType="begin"/>
    </w:r>
    <w:r w:rsidRPr="00311056">
      <w:rPr>
        <w:rFonts w:ascii="Times New Roman" w:hAnsi="Times New Roman"/>
      </w:rPr>
      <w:instrText xml:space="preserve"> PAGE   \* MERGEFORMAT </w:instrText>
    </w:r>
    <w:r w:rsidRPr="00311056">
      <w:rPr>
        <w:rFonts w:ascii="Times New Roman" w:hAnsi="Times New Roman"/>
      </w:rPr>
      <w:fldChar w:fldCharType="separate"/>
    </w:r>
    <w:r>
      <w:rPr>
        <w:rFonts w:ascii="Times New Roman" w:hAnsi="Times New Roman"/>
        <w:noProof/>
      </w:rPr>
      <w:t>12</w:t>
    </w:r>
    <w:r w:rsidRPr="00311056">
      <w:rPr>
        <w:rFonts w:ascii="Times New Roman" w:hAnsi="Times New Roman"/>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C3687" w14:textId="77777777" w:rsidR="00A9600D" w:rsidRDefault="00615EA7" w:rsidP="003F5A00">
    <w:pPr>
      <w:pStyle w:val="Footer"/>
      <w:spacing w:before="360"/>
      <w:jc w:val="center"/>
      <w:rPr>
        <w:rFonts w:ascii="Times New Roman" w:hAnsi="Times New Roman"/>
      </w:rPr>
    </w:pPr>
    <w:r w:rsidRPr="00AF3C12">
      <w:rPr>
        <w:rFonts w:ascii="Times New Roman" w:hAnsi="Times New Roman"/>
      </w:rPr>
      <w:fldChar w:fldCharType="begin"/>
    </w:r>
    <w:r w:rsidRPr="00AF3C12">
      <w:rPr>
        <w:rFonts w:ascii="Times New Roman" w:hAnsi="Times New Roman"/>
      </w:rPr>
      <w:instrText xml:space="preserve"> PAGE   \* MERGEFORMAT </w:instrText>
    </w:r>
    <w:r w:rsidRPr="00AF3C12">
      <w:rPr>
        <w:rFonts w:ascii="Times New Roman" w:hAnsi="Times New Roman"/>
      </w:rPr>
      <w:fldChar w:fldCharType="separate"/>
    </w:r>
    <w:r>
      <w:rPr>
        <w:rFonts w:ascii="Times New Roman" w:hAnsi="Times New Roman"/>
        <w:noProof/>
      </w:rPr>
      <w:t>1</w:t>
    </w:r>
    <w:r w:rsidRPr="00AF3C12">
      <w:rPr>
        <w:rFonts w:ascii="Times New Roman" w:hAnsi="Times New Roman"/>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72A15" w14:textId="2C047EE2" w:rsidR="00C82EE3" w:rsidRDefault="00C82EE3" w:rsidP="004C2B1B">
    <w:pPr>
      <w:pStyle w:val="Footer"/>
    </w:pPr>
  </w:p>
  <w:p w14:paraId="2D86E36C" w14:textId="77777777" w:rsidR="008C0530" w:rsidRDefault="008C0530" w:rsidP="00C82E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F4724" w14:textId="77777777" w:rsidR="00C605A2" w:rsidRDefault="00C605A2">
      <w:r>
        <w:separator/>
      </w:r>
    </w:p>
  </w:footnote>
  <w:footnote w:type="continuationSeparator" w:id="0">
    <w:p w14:paraId="475D44BB" w14:textId="77777777" w:rsidR="00C605A2" w:rsidRDefault="00C605A2">
      <w:r>
        <w:continuationSeparator/>
      </w:r>
    </w:p>
  </w:footnote>
  <w:footnote w:type="continuationNotice" w:id="1">
    <w:p w14:paraId="2B0193CA" w14:textId="77777777" w:rsidR="00C605A2" w:rsidRDefault="00C605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87A61" w14:textId="5484B430" w:rsidR="00421F4B" w:rsidRPr="005001A9" w:rsidRDefault="005001A9" w:rsidP="00A00F61">
    <w:pPr>
      <w:pStyle w:val="Header"/>
      <w:tabs>
        <w:tab w:val="clear" w:pos="4320"/>
        <w:tab w:val="clear" w:pos="8640"/>
      </w:tabs>
      <w:spacing w:line="240" w:lineRule="auto"/>
      <w:jc w:val="center"/>
      <w:rPr>
        <w:rFonts w:ascii="Arial" w:hAnsi="Arial" w:cs="Arial"/>
      </w:rPr>
    </w:pPr>
    <w:r w:rsidRPr="005001A9">
      <w:rPr>
        <w:rFonts w:ascii="Times New Roman" w:hAnsi="Times New Roman"/>
        <w:b/>
        <w:sz w:val="28"/>
        <w:szCs w:val="28"/>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90D8" w14:textId="4CBA8870" w:rsidR="00421F4B" w:rsidRPr="005001A9" w:rsidRDefault="005001A9" w:rsidP="0037297F">
    <w:pPr>
      <w:pStyle w:val="Header"/>
      <w:tabs>
        <w:tab w:val="clear" w:pos="4320"/>
        <w:tab w:val="clear" w:pos="8640"/>
      </w:tabs>
      <w:jc w:val="center"/>
    </w:pPr>
    <w:r w:rsidRPr="005001A9">
      <w:rPr>
        <w:rFonts w:ascii="Times New Roman" w:hAnsi="Times New Roman"/>
        <w:b/>
        <w:sz w:val="28"/>
        <w:szCs w:val="28"/>
      </w:rPr>
      <w:t>PUBLIC DISCLOSURE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0B89" w14:textId="77777777" w:rsidR="00A9600D" w:rsidRPr="00093A9A" w:rsidRDefault="00DD6271" w:rsidP="000F0FB5">
    <w:pPr>
      <w:pStyle w:val="Header"/>
      <w:tabs>
        <w:tab w:val="clear" w:pos="4320"/>
        <w:tab w:val="clear" w:pos="8640"/>
      </w:tabs>
      <w:spacing w:line="240" w:lineRule="auto"/>
      <w:ind w:left="720" w:right="90"/>
      <w:jc w:val="center"/>
      <w:rPr>
        <w:rFonts w:ascii="Arial" w:hAnsi="Arial" w:cs="Arial"/>
        <w:color w:val="FF0000"/>
      </w:rPr>
    </w:pPr>
    <w:r w:rsidRPr="00093A9A">
      <w:rPr>
        <w:rFonts w:ascii="Times New Roman" w:hAnsi="Times New Roman"/>
        <w:b/>
        <w:color w:val="FF0000"/>
        <w:sz w:val="28"/>
        <w:szCs w:val="28"/>
      </w:rPr>
      <w:t>TRADE SECRET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98C8" w14:textId="77777777" w:rsidR="00A9600D" w:rsidRPr="00093A9A" w:rsidRDefault="00702D57" w:rsidP="002676D9">
    <w:pPr>
      <w:pStyle w:val="Header"/>
      <w:tabs>
        <w:tab w:val="clear" w:pos="4320"/>
        <w:tab w:val="clear" w:pos="8640"/>
      </w:tabs>
      <w:jc w:val="center"/>
      <w:rPr>
        <w:color w:val="FF0000"/>
      </w:rPr>
    </w:pPr>
    <w:r w:rsidRPr="00093A9A">
      <w:rPr>
        <w:rFonts w:ascii="Times New Roman" w:hAnsi="Times New Roman"/>
        <w:b/>
        <w:color w:val="FF0000"/>
        <w:sz w:val="28"/>
        <w:szCs w:val="28"/>
      </w:rPr>
      <w:t>TRADE SECRET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53EB6" w14:textId="49BC168A" w:rsidR="00A9600D" w:rsidRPr="0075247D" w:rsidRDefault="0075247D" w:rsidP="000F0FB5">
    <w:pPr>
      <w:pStyle w:val="Header"/>
      <w:tabs>
        <w:tab w:val="clear" w:pos="4320"/>
        <w:tab w:val="clear" w:pos="8640"/>
      </w:tabs>
      <w:spacing w:line="240" w:lineRule="auto"/>
      <w:jc w:val="center"/>
      <w:rPr>
        <w:rFonts w:ascii="Arial" w:hAnsi="Arial" w:cs="Arial"/>
      </w:rPr>
    </w:pPr>
    <w:r w:rsidRPr="0075247D">
      <w:rPr>
        <w:rFonts w:ascii="Times New Roman" w:hAnsi="Times New Roman"/>
        <w:b/>
        <w:sz w:val="28"/>
        <w:szCs w:val="28"/>
      </w:rPr>
      <w:t>PUBLIC DISCLOSURE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CBE88" w14:textId="77777777" w:rsidR="00A9600D" w:rsidRPr="00093A9A" w:rsidRDefault="00127E05" w:rsidP="00127E05">
    <w:pPr>
      <w:pStyle w:val="Header"/>
      <w:tabs>
        <w:tab w:val="clear" w:pos="4320"/>
        <w:tab w:val="clear" w:pos="8640"/>
      </w:tabs>
      <w:jc w:val="center"/>
      <w:rPr>
        <w:color w:val="FF0000"/>
      </w:rPr>
    </w:pPr>
    <w:r w:rsidRPr="00093A9A">
      <w:rPr>
        <w:rFonts w:ascii="Times New Roman" w:hAnsi="Times New Roman"/>
        <w:b/>
        <w:color w:val="FF0000"/>
        <w:sz w:val="28"/>
        <w:szCs w:val="28"/>
      </w:rPr>
      <w:t>TRADE SECRET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B05AD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D6668B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44E615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A407CA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3565C8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AE15A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E2A99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19CA76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B4CA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28C2C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D3635C"/>
    <w:multiLevelType w:val="hybridMultilevel"/>
    <w:tmpl w:val="36C0AE16"/>
    <w:lvl w:ilvl="0" w:tplc="77404B4C">
      <w:start w:val="1"/>
      <w:numFmt w:val="decimal"/>
      <w:lvlText w:val="(%1)"/>
      <w:lvlJc w:val="left"/>
      <w:pPr>
        <w:ind w:left="1440" w:hanging="360"/>
      </w:pPr>
      <w:rPr>
        <w:rFonts w:hint="default"/>
      </w:rPr>
    </w:lvl>
    <w:lvl w:ilvl="1" w:tplc="2744CE8C" w:tentative="1">
      <w:start w:val="1"/>
      <w:numFmt w:val="lowerLetter"/>
      <w:lvlText w:val="%2."/>
      <w:lvlJc w:val="left"/>
      <w:pPr>
        <w:ind w:left="2160" w:hanging="360"/>
      </w:pPr>
    </w:lvl>
    <w:lvl w:ilvl="2" w:tplc="52CA9588" w:tentative="1">
      <w:start w:val="1"/>
      <w:numFmt w:val="lowerRoman"/>
      <w:lvlText w:val="%3."/>
      <w:lvlJc w:val="right"/>
      <w:pPr>
        <w:ind w:left="2880" w:hanging="180"/>
      </w:pPr>
    </w:lvl>
    <w:lvl w:ilvl="3" w:tplc="EC68F312" w:tentative="1">
      <w:start w:val="1"/>
      <w:numFmt w:val="decimal"/>
      <w:lvlText w:val="%4."/>
      <w:lvlJc w:val="left"/>
      <w:pPr>
        <w:ind w:left="3600" w:hanging="360"/>
      </w:pPr>
    </w:lvl>
    <w:lvl w:ilvl="4" w:tplc="A5C063CA" w:tentative="1">
      <w:start w:val="1"/>
      <w:numFmt w:val="lowerLetter"/>
      <w:lvlText w:val="%5."/>
      <w:lvlJc w:val="left"/>
      <w:pPr>
        <w:ind w:left="4320" w:hanging="360"/>
      </w:pPr>
    </w:lvl>
    <w:lvl w:ilvl="5" w:tplc="C6205D52" w:tentative="1">
      <w:start w:val="1"/>
      <w:numFmt w:val="lowerRoman"/>
      <w:lvlText w:val="%6."/>
      <w:lvlJc w:val="right"/>
      <w:pPr>
        <w:ind w:left="5040" w:hanging="180"/>
      </w:pPr>
    </w:lvl>
    <w:lvl w:ilvl="6" w:tplc="70861DFE" w:tentative="1">
      <w:start w:val="1"/>
      <w:numFmt w:val="decimal"/>
      <w:lvlText w:val="%7."/>
      <w:lvlJc w:val="left"/>
      <w:pPr>
        <w:ind w:left="5760" w:hanging="360"/>
      </w:pPr>
    </w:lvl>
    <w:lvl w:ilvl="7" w:tplc="F38A9D6A" w:tentative="1">
      <w:start w:val="1"/>
      <w:numFmt w:val="lowerLetter"/>
      <w:lvlText w:val="%8."/>
      <w:lvlJc w:val="left"/>
      <w:pPr>
        <w:ind w:left="6480" w:hanging="360"/>
      </w:pPr>
    </w:lvl>
    <w:lvl w:ilvl="8" w:tplc="5DFADC38" w:tentative="1">
      <w:start w:val="1"/>
      <w:numFmt w:val="lowerRoman"/>
      <w:lvlText w:val="%9."/>
      <w:lvlJc w:val="right"/>
      <w:pPr>
        <w:ind w:left="7200" w:hanging="180"/>
      </w:pPr>
    </w:lvl>
  </w:abstractNum>
  <w:abstractNum w:abstractNumId="11" w15:restartNumberingAfterBreak="0">
    <w:nsid w:val="0E311120"/>
    <w:multiLevelType w:val="hybridMultilevel"/>
    <w:tmpl w:val="60F4C61C"/>
    <w:lvl w:ilvl="0" w:tplc="F3A6AE00">
      <w:start w:val="1"/>
      <w:numFmt w:val="decimal"/>
      <w:lvlText w:val="%1."/>
      <w:lvlJc w:val="left"/>
      <w:pPr>
        <w:ind w:left="2160" w:hanging="360"/>
      </w:pPr>
    </w:lvl>
    <w:lvl w:ilvl="1" w:tplc="AAF04BDA" w:tentative="1">
      <w:start w:val="1"/>
      <w:numFmt w:val="lowerLetter"/>
      <w:lvlText w:val="%2."/>
      <w:lvlJc w:val="left"/>
      <w:pPr>
        <w:ind w:left="2880" w:hanging="360"/>
      </w:pPr>
    </w:lvl>
    <w:lvl w:ilvl="2" w:tplc="6186BBCA" w:tentative="1">
      <w:start w:val="1"/>
      <w:numFmt w:val="lowerRoman"/>
      <w:lvlText w:val="%3."/>
      <w:lvlJc w:val="right"/>
      <w:pPr>
        <w:ind w:left="3600" w:hanging="180"/>
      </w:pPr>
    </w:lvl>
    <w:lvl w:ilvl="3" w:tplc="D2A808B4" w:tentative="1">
      <w:start w:val="1"/>
      <w:numFmt w:val="decimal"/>
      <w:lvlText w:val="%4."/>
      <w:lvlJc w:val="left"/>
      <w:pPr>
        <w:ind w:left="4320" w:hanging="360"/>
      </w:pPr>
    </w:lvl>
    <w:lvl w:ilvl="4" w:tplc="219243B4" w:tentative="1">
      <w:start w:val="1"/>
      <w:numFmt w:val="lowerLetter"/>
      <w:lvlText w:val="%5."/>
      <w:lvlJc w:val="left"/>
      <w:pPr>
        <w:ind w:left="5040" w:hanging="360"/>
      </w:pPr>
    </w:lvl>
    <w:lvl w:ilvl="5" w:tplc="C0B67B06" w:tentative="1">
      <w:start w:val="1"/>
      <w:numFmt w:val="lowerRoman"/>
      <w:lvlText w:val="%6."/>
      <w:lvlJc w:val="right"/>
      <w:pPr>
        <w:ind w:left="5760" w:hanging="180"/>
      </w:pPr>
    </w:lvl>
    <w:lvl w:ilvl="6" w:tplc="F7FE710C" w:tentative="1">
      <w:start w:val="1"/>
      <w:numFmt w:val="decimal"/>
      <w:lvlText w:val="%7."/>
      <w:lvlJc w:val="left"/>
      <w:pPr>
        <w:ind w:left="6480" w:hanging="360"/>
      </w:pPr>
    </w:lvl>
    <w:lvl w:ilvl="7" w:tplc="3440C712" w:tentative="1">
      <w:start w:val="1"/>
      <w:numFmt w:val="lowerLetter"/>
      <w:lvlText w:val="%8."/>
      <w:lvlJc w:val="left"/>
      <w:pPr>
        <w:ind w:left="7200" w:hanging="360"/>
      </w:pPr>
    </w:lvl>
    <w:lvl w:ilvl="8" w:tplc="9FFAE594" w:tentative="1">
      <w:start w:val="1"/>
      <w:numFmt w:val="lowerRoman"/>
      <w:lvlText w:val="%9."/>
      <w:lvlJc w:val="right"/>
      <w:pPr>
        <w:ind w:left="7920" w:hanging="180"/>
      </w:pPr>
    </w:lvl>
  </w:abstractNum>
  <w:abstractNum w:abstractNumId="12" w15:restartNumberingAfterBreak="0">
    <w:nsid w:val="163D4574"/>
    <w:multiLevelType w:val="hybridMultilevel"/>
    <w:tmpl w:val="36C0AE16"/>
    <w:lvl w:ilvl="0" w:tplc="7570C3D8">
      <w:start w:val="1"/>
      <w:numFmt w:val="decimal"/>
      <w:lvlText w:val="(%1)"/>
      <w:lvlJc w:val="left"/>
      <w:pPr>
        <w:ind w:left="1440" w:hanging="360"/>
      </w:pPr>
      <w:rPr>
        <w:rFonts w:hint="default"/>
      </w:rPr>
    </w:lvl>
    <w:lvl w:ilvl="1" w:tplc="D9F63D92" w:tentative="1">
      <w:start w:val="1"/>
      <w:numFmt w:val="lowerLetter"/>
      <w:lvlText w:val="%2."/>
      <w:lvlJc w:val="left"/>
      <w:pPr>
        <w:ind w:left="2160" w:hanging="360"/>
      </w:pPr>
    </w:lvl>
    <w:lvl w:ilvl="2" w:tplc="70D2B4C0" w:tentative="1">
      <w:start w:val="1"/>
      <w:numFmt w:val="lowerRoman"/>
      <w:lvlText w:val="%3."/>
      <w:lvlJc w:val="right"/>
      <w:pPr>
        <w:ind w:left="2880" w:hanging="180"/>
      </w:pPr>
    </w:lvl>
    <w:lvl w:ilvl="3" w:tplc="AC0CE7AC" w:tentative="1">
      <w:start w:val="1"/>
      <w:numFmt w:val="decimal"/>
      <w:lvlText w:val="%4."/>
      <w:lvlJc w:val="left"/>
      <w:pPr>
        <w:ind w:left="3600" w:hanging="360"/>
      </w:pPr>
    </w:lvl>
    <w:lvl w:ilvl="4" w:tplc="50344346" w:tentative="1">
      <w:start w:val="1"/>
      <w:numFmt w:val="lowerLetter"/>
      <w:lvlText w:val="%5."/>
      <w:lvlJc w:val="left"/>
      <w:pPr>
        <w:ind w:left="4320" w:hanging="360"/>
      </w:pPr>
    </w:lvl>
    <w:lvl w:ilvl="5" w:tplc="64F46D0C" w:tentative="1">
      <w:start w:val="1"/>
      <w:numFmt w:val="lowerRoman"/>
      <w:lvlText w:val="%6."/>
      <w:lvlJc w:val="right"/>
      <w:pPr>
        <w:ind w:left="5040" w:hanging="180"/>
      </w:pPr>
    </w:lvl>
    <w:lvl w:ilvl="6" w:tplc="D26C36CC" w:tentative="1">
      <w:start w:val="1"/>
      <w:numFmt w:val="decimal"/>
      <w:lvlText w:val="%7."/>
      <w:lvlJc w:val="left"/>
      <w:pPr>
        <w:ind w:left="5760" w:hanging="360"/>
      </w:pPr>
    </w:lvl>
    <w:lvl w:ilvl="7" w:tplc="917000C2" w:tentative="1">
      <w:start w:val="1"/>
      <w:numFmt w:val="lowerLetter"/>
      <w:lvlText w:val="%8."/>
      <w:lvlJc w:val="left"/>
      <w:pPr>
        <w:ind w:left="6480" w:hanging="360"/>
      </w:pPr>
    </w:lvl>
    <w:lvl w:ilvl="8" w:tplc="8D2EBECA" w:tentative="1">
      <w:start w:val="1"/>
      <w:numFmt w:val="lowerRoman"/>
      <w:lvlText w:val="%9."/>
      <w:lvlJc w:val="right"/>
      <w:pPr>
        <w:ind w:left="7200" w:hanging="180"/>
      </w:pPr>
    </w:lvl>
  </w:abstractNum>
  <w:abstractNum w:abstractNumId="13" w15:restartNumberingAfterBreak="0">
    <w:nsid w:val="2363331D"/>
    <w:multiLevelType w:val="hybridMultilevel"/>
    <w:tmpl w:val="7A86C200"/>
    <w:lvl w:ilvl="0" w:tplc="16B0DEA8">
      <w:start w:val="1"/>
      <w:numFmt w:val="decimal"/>
      <w:lvlText w:val="(%1)"/>
      <w:lvlJc w:val="left"/>
      <w:pPr>
        <w:ind w:left="1800" w:hanging="360"/>
      </w:pPr>
      <w:rPr>
        <w:rFonts w:hint="default"/>
      </w:rPr>
    </w:lvl>
    <w:lvl w:ilvl="1" w:tplc="781A010C" w:tentative="1">
      <w:start w:val="1"/>
      <w:numFmt w:val="lowerLetter"/>
      <w:lvlText w:val="%2."/>
      <w:lvlJc w:val="left"/>
      <w:pPr>
        <w:ind w:left="2520" w:hanging="360"/>
      </w:pPr>
    </w:lvl>
    <w:lvl w:ilvl="2" w:tplc="9F4EE70A" w:tentative="1">
      <w:start w:val="1"/>
      <w:numFmt w:val="lowerRoman"/>
      <w:lvlText w:val="%3."/>
      <w:lvlJc w:val="right"/>
      <w:pPr>
        <w:ind w:left="3240" w:hanging="180"/>
      </w:pPr>
    </w:lvl>
    <w:lvl w:ilvl="3" w:tplc="15362D30" w:tentative="1">
      <w:start w:val="1"/>
      <w:numFmt w:val="decimal"/>
      <w:lvlText w:val="%4."/>
      <w:lvlJc w:val="left"/>
      <w:pPr>
        <w:ind w:left="3960" w:hanging="360"/>
      </w:pPr>
    </w:lvl>
    <w:lvl w:ilvl="4" w:tplc="14708920" w:tentative="1">
      <w:start w:val="1"/>
      <w:numFmt w:val="lowerLetter"/>
      <w:lvlText w:val="%5."/>
      <w:lvlJc w:val="left"/>
      <w:pPr>
        <w:ind w:left="4680" w:hanging="360"/>
      </w:pPr>
    </w:lvl>
    <w:lvl w:ilvl="5" w:tplc="3556A632" w:tentative="1">
      <w:start w:val="1"/>
      <w:numFmt w:val="lowerRoman"/>
      <w:lvlText w:val="%6."/>
      <w:lvlJc w:val="right"/>
      <w:pPr>
        <w:ind w:left="5400" w:hanging="180"/>
      </w:pPr>
    </w:lvl>
    <w:lvl w:ilvl="6" w:tplc="46861024" w:tentative="1">
      <w:start w:val="1"/>
      <w:numFmt w:val="decimal"/>
      <w:lvlText w:val="%7."/>
      <w:lvlJc w:val="left"/>
      <w:pPr>
        <w:ind w:left="6120" w:hanging="360"/>
      </w:pPr>
    </w:lvl>
    <w:lvl w:ilvl="7" w:tplc="B802BEEE" w:tentative="1">
      <w:start w:val="1"/>
      <w:numFmt w:val="lowerLetter"/>
      <w:lvlText w:val="%8."/>
      <w:lvlJc w:val="left"/>
      <w:pPr>
        <w:ind w:left="6840" w:hanging="360"/>
      </w:pPr>
    </w:lvl>
    <w:lvl w:ilvl="8" w:tplc="36F6F4AE" w:tentative="1">
      <w:start w:val="1"/>
      <w:numFmt w:val="lowerRoman"/>
      <w:lvlText w:val="%9."/>
      <w:lvlJc w:val="right"/>
      <w:pPr>
        <w:ind w:left="7560" w:hanging="180"/>
      </w:pPr>
    </w:lvl>
  </w:abstractNum>
  <w:abstractNum w:abstractNumId="14" w15:restartNumberingAfterBreak="0">
    <w:nsid w:val="27F05BE0"/>
    <w:multiLevelType w:val="hybridMultilevel"/>
    <w:tmpl w:val="BEFA1382"/>
    <w:lvl w:ilvl="0" w:tplc="D060B218">
      <w:start w:val="1"/>
      <w:numFmt w:val="bullet"/>
      <w:lvlText w:val=""/>
      <w:lvlJc w:val="left"/>
      <w:pPr>
        <w:tabs>
          <w:tab w:val="num" w:pos="720"/>
        </w:tabs>
        <w:ind w:left="1440" w:hanging="1440"/>
      </w:pPr>
      <w:rPr>
        <w:rFonts w:ascii="Symbol" w:hAnsi="Symbol" w:hint="default"/>
      </w:rPr>
    </w:lvl>
    <w:lvl w:ilvl="1" w:tplc="EB6E77EC">
      <w:start w:val="1"/>
      <w:numFmt w:val="bullet"/>
      <w:lvlText w:val="o"/>
      <w:lvlJc w:val="left"/>
      <w:pPr>
        <w:tabs>
          <w:tab w:val="num" w:pos="1440"/>
        </w:tabs>
        <w:ind w:left="1440" w:hanging="360"/>
      </w:pPr>
      <w:rPr>
        <w:rFonts w:ascii="Courier New" w:hAnsi="Courier New" w:cs="Courier New" w:hint="default"/>
      </w:rPr>
    </w:lvl>
    <w:lvl w:ilvl="2" w:tplc="0DF26BB6" w:tentative="1">
      <w:start w:val="1"/>
      <w:numFmt w:val="bullet"/>
      <w:lvlText w:val=""/>
      <w:lvlJc w:val="left"/>
      <w:pPr>
        <w:tabs>
          <w:tab w:val="num" w:pos="2160"/>
        </w:tabs>
        <w:ind w:left="2160" w:hanging="360"/>
      </w:pPr>
      <w:rPr>
        <w:rFonts w:ascii="Wingdings" w:hAnsi="Wingdings" w:hint="default"/>
      </w:rPr>
    </w:lvl>
    <w:lvl w:ilvl="3" w:tplc="BAE68F3E" w:tentative="1">
      <w:start w:val="1"/>
      <w:numFmt w:val="bullet"/>
      <w:lvlText w:val=""/>
      <w:lvlJc w:val="left"/>
      <w:pPr>
        <w:tabs>
          <w:tab w:val="num" w:pos="2880"/>
        </w:tabs>
        <w:ind w:left="2880" w:hanging="360"/>
      </w:pPr>
      <w:rPr>
        <w:rFonts w:ascii="Symbol" w:hAnsi="Symbol" w:hint="default"/>
      </w:rPr>
    </w:lvl>
    <w:lvl w:ilvl="4" w:tplc="B198B424" w:tentative="1">
      <w:start w:val="1"/>
      <w:numFmt w:val="bullet"/>
      <w:lvlText w:val="o"/>
      <w:lvlJc w:val="left"/>
      <w:pPr>
        <w:tabs>
          <w:tab w:val="num" w:pos="3600"/>
        </w:tabs>
        <w:ind w:left="3600" w:hanging="360"/>
      </w:pPr>
      <w:rPr>
        <w:rFonts w:ascii="Courier New" w:hAnsi="Courier New" w:cs="Courier New" w:hint="default"/>
      </w:rPr>
    </w:lvl>
    <w:lvl w:ilvl="5" w:tplc="7CCC1200" w:tentative="1">
      <w:start w:val="1"/>
      <w:numFmt w:val="bullet"/>
      <w:lvlText w:val=""/>
      <w:lvlJc w:val="left"/>
      <w:pPr>
        <w:tabs>
          <w:tab w:val="num" w:pos="4320"/>
        </w:tabs>
        <w:ind w:left="4320" w:hanging="360"/>
      </w:pPr>
      <w:rPr>
        <w:rFonts w:ascii="Wingdings" w:hAnsi="Wingdings" w:hint="default"/>
      </w:rPr>
    </w:lvl>
    <w:lvl w:ilvl="6" w:tplc="F558F84C" w:tentative="1">
      <w:start w:val="1"/>
      <w:numFmt w:val="bullet"/>
      <w:lvlText w:val=""/>
      <w:lvlJc w:val="left"/>
      <w:pPr>
        <w:tabs>
          <w:tab w:val="num" w:pos="5040"/>
        </w:tabs>
        <w:ind w:left="5040" w:hanging="360"/>
      </w:pPr>
      <w:rPr>
        <w:rFonts w:ascii="Symbol" w:hAnsi="Symbol" w:hint="default"/>
      </w:rPr>
    </w:lvl>
    <w:lvl w:ilvl="7" w:tplc="0CD6B03C" w:tentative="1">
      <w:start w:val="1"/>
      <w:numFmt w:val="bullet"/>
      <w:lvlText w:val="o"/>
      <w:lvlJc w:val="left"/>
      <w:pPr>
        <w:tabs>
          <w:tab w:val="num" w:pos="5760"/>
        </w:tabs>
        <w:ind w:left="5760" w:hanging="360"/>
      </w:pPr>
      <w:rPr>
        <w:rFonts w:ascii="Courier New" w:hAnsi="Courier New" w:cs="Courier New" w:hint="default"/>
      </w:rPr>
    </w:lvl>
    <w:lvl w:ilvl="8" w:tplc="898A147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5312E4"/>
    <w:multiLevelType w:val="hybridMultilevel"/>
    <w:tmpl w:val="4B020228"/>
    <w:lvl w:ilvl="0" w:tplc="AFEC77A6">
      <w:start w:val="1"/>
      <w:numFmt w:val="upperLetter"/>
      <w:lvlText w:val="%1."/>
      <w:lvlJc w:val="left"/>
      <w:pPr>
        <w:ind w:left="3960" w:hanging="360"/>
      </w:pPr>
      <w:rPr>
        <w:rFonts w:hint="default"/>
      </w:rPr>
    </w:lvl>
    <w:lvl w:ilvl="1" w:tplc="BD9C9E60" w:tentative="1">
      <w:start w:val="1"/>
      <w:numFmt w:val="lowerLetter"/>
      <w:lvlText w:val="%2."/>
      <w:lvlJc w:val="left"/>
      <w:pPr>
        <w:ind w:left="4680" w:hanging="360"/>
      </w:pPr>
    </w:lvl>
    <w:lvl w:ilvl="2" w:tplc="3E3CE8E2" w:tentative="1">
      <w:start w:val="1"/>
      <w:numFmt w:val="lowerRoman"/>
      <w:lvlText w:val="%3."/>
      <w:lvlJc w:val="right"/>
      <w:pPr>
        <w:ind w:left="5400" w:hanging="180"/>
      </w:pPr>
    </w:lvl>
    <w:lvl w:ilvl="3" w:tplc="BFAE1E8E" w:tentative="1">
      <w:start w:val="1"/>
      <w:numFmt w:val="decimal"/>
      <w:lvlText w:val="%4."/>
      <w:lvlJc w:val="left"/>
      <w:pPr>
        <w:ind w:left="6120" w:hanging="360"/>
      </w:pPr>
    </w:lvl>
    <w:lvl w:ilvl="4" w:tplc="A28EA206" w:tentative="1">
      <w:start w:val="1"/>
      <w:numFmt w:val="lowerLetter"/>
      <w:lvlText w:val="%5."/>
      <w:lvlJc w:val="left"/>
      <w:pPr>
        <w:ind w:left="6840" w:hanging="360"/>
      </w:pPr>
    </w:lvl>
    <w:lvl w:ilvl="5" w:tplc="67EAFBD6" w:tentative="1">
      <w:start w:val="1"/>
      <w:numFmt w:val="lowerRoman"/>
      <w:lvlText w:val="%6."/>
      <w:lvlJc w:val="right"/>
      <w:pPr>
        <w:ind w:left="7560" w:hanging="180"/>
      </w:pPr>
    </w:lvl>
    <w:lvl w:ilvl="6" w:tplc="FB5A74A4" w:tentative="1">
      <w:start w:val="1"/>
      <w:numFmt w:val="decimal"/>
      <w:lvlText w:val="%7."/>
      <w:lvlJc w:val="left"/>
      <w:pPr>
        <w:ind w:left="8280" w:hanging="360"/>
      </w:pPr>
    </w:lvl>
    <w:lvl w:ilvl="7" w:tplc="2D3EF668" w:tentative="1">
      <w:start w:val="1"/>
      <w:numFmt w:val="lowerLetter"/>
      <w:lvlText w:val="%8."/>
      <w:lvlJc w:val="left"/>
      <w:pPr>
        <w:ind w:left="9000" w:hanging="360"/>
      </w:pPr>
    </w:lvl>
    <w:lvl w:ilvl="8" w:tplc="B178D4B0" w:tentative="1">
      <w:start w:val="1"/>
      <w:numFmt w:val="lowerRoman"/>
      <w:lvlText w:val="%9."/>
      <w:lvlJc w:val="right"/>
      <w:pPr>
        <w:ind w:left="9720" w:hanging="180"/>
      </w:pPr>
    </w:lvl>
  </w:abstractNum>
  <w:abstractNum w:abstractNumId="16" w15:restartNumberingAfterBreak="0">
    <w:nsid w:val="369C4FBF"/>
    <w:multiLevelType w:val="hybridMultilevel"/>
    <w:tmpl w:val="21286C70"/>
    <w:lvl w:ilvl="0" w:tplc="89FE52BE">
      <w:start w:val="1"/>
      <w:numFmt w:val="decimal"/>
      <w:lvlText w:val="%1."/>
      <w:lvlJc w:val="left"/>
      <w:pPr>
        <w:ind w:left="1494" w:hanging="360"/>
      </w:pPr>
    </w:lvl>
    <w:lvl w:ilvl="1" w:tplc="CDC47724" w:tentative="1">
      <w:start w:val="1"/>
      <w:numFmt w:val="lowerLetter"/>
      <w:lvlText w:val="%2."/>
      <w:lvlJc w:val="left"/>
      <w:pPr>
        <w:ind w:left="2214" w:hanging="360"/>
      </w:pPr>
    </w:lvl>
    <w:lvl w:ilvl="2" w:tplc="020032EA" w:tentative="1">
      <w:start w:val="1"/>
      <w:numFmt w:val="lowerRoman"/>
      <w:lvlText w:val="%3."/>
      <w:lvlJc w:val="right"/>
      <w:pPr>
        <w:ind w:left="2934" w:hanging="180"/>
      </w:pPr>
    </w:lvl>
    <w:lvl w:ilvl="3" w:tplc="97A0642C" w:tentative="1">
      <w:start w:val="1"/>
      <w:numFmt w:val="decimal"/>
      <w:lvlText w:val="%4."/>
      <w:lvlJc w:val="left"/>
      <w:pPr>
        <w:ind w:left="3654" w:hanging="360"/>
      </w:pPr>
    </w:lvl>
    <w:lvl w:ilvl="4" w:tplc="5B9E42FE" w:tentative="1">
      <w:start w:val="1"/>
      <w:numFmt w:val="lowerLetter"/>
      <w:lvlText w:val="%5."/>
      <w:lvlJc w:val="left"/>
      <w:pPr>
        <w:ind w:left="4374" w:hanging="360"/>
      </w:pPr>
    </w:lvl>
    <w:lvl w:ilvl="5" w:tplc="9C3E9574" w:tentative="1">
      <w:start w:val="1"/>
      <w:numFmt w:val="lowerRoman"/>
      <w:lvlText w:val="%6."/>
      <w:lvlJc w:val="right"/>
      <w:pPr>
        <w:ind w:left="5094" w:hanging="180"/>
      </w:pPr>
    </w:lvl>
    <w:lvl w:ilvl="6" w:tplc="EB280D36" w:tentative="1">
      <w:start w:val="1"/>
      <w:numFmt w:val="decimal"/>
      <w:lvlText w:val="%7."/>
      <w:lvlJc w:val="left"/>
      <w:pPr>
        <w:ind w:left="5814" w:hanging="360"/>
      </w:pPr>
    </w:lvl>
    <w:lvl w:ilvl="7" w:tplc="36304738" w:tentative="1">
      <w:start w:val="1"/>
      <w:numFmt w:val="lowerLetter"/>
      <w:lvlText w:val="%8."/>
      <w:lvlJc w:val="left"/>
      <w:pPr>
        <w:ind w:left="6534" w:hanging="360"/>
      </w:pPr>
    </w:lvl>
    <w:lvl w:ilvl="8" w:tplc="9E0A7D52" w:tentative="1">
      <w:start w:val="1"/>
      <w:numFmt w:val="lowerRoman"/>
      <w:lvlText w:val="%9."/>
      <w:lvlJc w:val="right"/>
      <w:pPr>
        <w:ind w:left="7254" w:hanging="180"/>
      </w:pPr>
    </w:lvl>
  </w:abstractNum>
  <w:abstractNum w:abstractNumId="17" w15:restartNumberingAfterBreak="0">
    <w:nsid w:val="48A23EEC"/>
    <w:multiLevelType w:val="hybridMultilevel"/>
    <w:tmpl w:val="F0E6725E"/>
    <w:lvl w:ilvl="0" w:tplc="84D66BDA">
      <w:start w:val="1"/>
      <w:numFmt w:val="bullet"/>
      <w:lvlText w:val=""/>
      <w:lvlJc w:val="left"/>
      <w:pPr>
        <w:ind w:left="720" w:hanging="360"/>
      </w:pPr>
      <w:rPr>
        <w:rFonts w:ascii="Symbol" w:hAnsi="Symbol" w:hint="default"/>
      </w:rPr>
    </w:lvl>
    <w:lvl w:ilvl="1" w:tplc="FA0EA364" w:tentative="1">
      <w:start w:val="1"/>
      <w:numFmt w:val="bullet"/>
      <w:lvlText w:val="o"/>
      <w:lvlJc w:val="left"/>
      <w:pPr>
        <w:ind w:left="1440" w:hanging="360"/>
      </w:pPr>
      <w:rPr>
        <w:rFonts w:ascii="Courier New" w:hAnsi="Courier New" w:cs="Courier New" w:hint="default"/>
      </w:rPr>
    </w:lvl>
    <w:lvl w:ilvl="2" w:tplc="C1AEDE56" w:tentative="1">
      <w:start w:val="1"/>
      <w:numFmt w:val="bullet"/>
      <w:lvlText w:val=""/>
      <w:lvlJc w:val="left"/>
      <w:pPr>
        <w:ind w:left="2160" w:hanging="360"/>
      </w:pPr>
      <w:rPr>
        <w:rFonts w:ascii="Wingdings" w:hAnsi="Wingdings" w:hint="default"/>
      </w:rPr>
    </w:lvl>
    <w:lvl w:ilvl="3" w:tplc="37C4BB7A" w:tentative="1">
      <w:start w:val="1"/>
      <w:numFmt w:val="bullet"/>
      <w:lvlText w:val=""/>
      <w:lvlJc w:val="left"/>
      <w:pPr>
        <w:ind w:left="2880" w:hanging="360"/>
      </w:pPr>
      <w:rPr>
        <w:rFonts w:ascii="Symbol" w:hAnsi="Symbol" w:hint="default"/>
      </w:rPr>
    </w:lvl>
    <w:lvl w:ilvl="4" w:tplc="D8D4C73C" w:tentative="1">
      <w:start w:val="1"/>
      <w:numFmt w:val="bullet"/>
      <w:lvlText w:val="o"/>
      <w:lvlJc w:val="left"/>
      <w:pPr>
        <w:ind w:left="3600" w:hanging="360"/>
      </w:pPr>
      <w:rPr>
        <w:rFonts w:ascii="Courier New" w:hAnsi="Courier New" w:cs="Courier New" w:hint="default"/>
      </w:rPr>
    </w:lvl>
    <w:lvl w:ilvl="5" w:tplc="D43223E0" w:tentative="1">
      <w:start w:val="1"/>
      <w:numFmt w:val="bullet"/>
      <w:lvlText w:val=""/>
      <w:lvlJc w:val="left"/>
      <w:pPr>
        <w:ind w:left="4320" w:hanging="360"/>
      </w:pPr>
      <w:rPr>
        <w:rFonts w:ascii="Wingdings" w:hAnsi="Wingdings" w:hint="default"/>
      </w:rPr>
    </w:lvl>
    <w:lvl w:ilvl="6" w:tplc="B9F2FED6" w:tentative="1">
      <w:start w:val="1"/>
      <w:numFmt w:val="bullet"/>
      <w:lvlText w:val=""/>
      <w:lvlJc w:val="left"/>
      <w:pPr>
        <w:ind w:left="5040" w:hanging="360"/>
      </w:pPr>
      <w:rPr>
        <w:rFonts w:ascii="Symbol" w:hAnsi="Symbol" w:hint="default"/>
      </w:rPr>
    </w:lvl>
    <w:lvl w:ilvl="7" w:tplc="F0DE0BE0" w:tentative="1">
      <w:start w:val="1"/>
      <w:numFmt w:val="bullet"/>
      <w:lvlText w:val="o"/>
      <w:lvlJc w:val="left"/>
      <w:pPr>
        <w:ind w:left="5760" w:hanging="360"/>
      </w:pPr>
      <w:rPr>
        <w:rFonts w:ascii="Courier New" w:hAnsi="Courier New" w:cs="Courier New" w:hint="default"/>
      </w:rPr>
    </w:lvl>
    <w:lvl w:ilvl="8" w:tplc="0E680234" w:tentative="1">
      <w:start w:val="1"/>
      <w:numFmt w:val="bullet"/>
      <w:lvlText w:val=""/>
      <w:lvlJc w:val="left"/>
      <w:pPr>
        <w:ind w:left="6480" w:hanging="360"/>
      </w:pPr>
      <w:rPr>
        <w:rFonts w:ascii="Wingdings" w:hAnsi="Wingdings" w:hint="default"/>
      </w:rPr>
    </w:lvl>
  </w:abstractNum>
  <w:abstractNum w:abstractNumId="18" w15:restartNumberingAfterBreak="0">
    <w:nsid w:val="4C4A7BE4"/>
    <w:multiLevelType w:val="hybridMultilevel"/>
    <w:tmpl w:val="4DFE6780"/>
    <w:lvl w:ilvl="0" w:tplc="348C454C">
      <w:start w:val="1"/>
      <w:numFmt w:val="bullet"/>
      <w:lvlText w:val=""/>
      <w:lvlJc w:val="left"/>
      <w:pPr>
        <w:ind w:left="720" w:hanging="360"/>
      </w:pPr>
      <w:rPr>
        <w:rFonts w:ascii="Symbol" w:hAnsi="Symbol"/>
      </w:rPr>
    </w:lvl>
    <w:lvl w:ilvl="1" w:tplc="D60C3F6A">
      <w:start w:val="1"/>
      <w:numFmt w:val="bullet"/>
      <w:lvlText w:val=""/>
      <w:lvlJc w:val="left"/>
      <w:pPr>
        <w:ind w:left="720" w:hanging="360"/>
      </w:pPr>
      <w:rPr>
        <w:rFonts w:ascii="Symbol" w:hAnsi="Symbol"/>
      </w:rPr>
    </w:lvl>
    <w:lvl w:ilvl="2" w:tplc="4B14B986">
      <w:start w:val="1"/>
      <w:numFmt w:val="bullet"/>
      <w:lvlText w:val=""/>
      <w:lvlJc w:val="left"/>
      <w:pPr>
        <w:ind w:left="720" w:hanging="360"/>
      </w:pPr>
      <w:rPr>
        <w:rFonts w:ascii="Symbol" w:hAnsi="Symbol"/>
      </w:rPr>
    </w:lvl>
    <w:lvl w:ilvl="3" w:tplc="DE5886D0">
      <w:start w:val="1"/>
      <w:numFmt w:val="bullet"/>
      <w:lvlText w:val=""/>
      <w:lvlJc w:val="left"/>
      <w:pPr>
        <w:ind w:left="720" w:hanging="360"/>
      </w:pPr>
      <w:rPr>
        <w:rFonts w:ascii="Symbol" w:hAnsi="Symbol"/>
      </w:rPr>
    </w:lvl>
    <w:lvl w:ilvl="4" w:tplc="6838A634">
      <w:start w:val="1"/>
      <w:numFmt w:val="bullet"/>
      <w:lvlText w:val=""/>
      <w:lvlJc w:val="left"/>
      <w:pPr>
        <w:ind w:left="720" w:hanging="360"/>
      </w:pPr>
      <w:rPr>
        <w:rFonts w:ascii="Symbol" w:hAnsi="Symbol"/>
      </w:rPr>
    </w:lvl>
    <w:lvl w:ilvl="5" w:tplc="BCD030D8">
      <w:start w:val="1"/>
      <w:numFmt w:val="bullet"/>
      <w:lvlText w:val=""/>
      <w:lvlJc w:val="left"/>
      <w:pPr>
        <w:ind w:left="720" w:hanging="360"/>
      </w:pPr>
      <w:rPr>
        <w:rFonts w:ascii="Symbol" w:hAnsi="Symbol"/>
      </w:rPr>
    </w:lvl>
    <w:lvl w:ilvl="6" w:tplc="3246F26C">
      <w:start w:val="1"/>
      <w:numFmt w:val="bullet"/>
      <w:lvlText w:val=""/>
      <w:lvlJc w:val="left"/>
      <w:pPr>
        <w:ind w:left="720" w:hanging="360"/>
      </w:pPr>
      <w:rPr>
        <w:rFonts w:ascii="Symbol" w:hAnsi="Symbol"/>
      </w:rPr>
    </w:lvl>
    <w:lvl w:ilvl="7" w:tplc="A170CE98">
      <w:start w:val="1"/>
      <w:numFmt w:val="bullet"/>
      <w:lvlText w:val=""/>
      <w:lvlJc w:val="left"/>
      <w:pPr>
        <w:ind w:left="720" w:hanging="360"/>
      </w:pPr>
      <w:rPr>
        <w:rFonts w:ascii="Symbol" w:hAnsi="Symbol"/>
      </w:rPr>
    </w:lvl>
    <w:lvl w:ilvl="8" w:tplc="213C46D2">
      <w:start w:val="1"/>
      <w:numFmt w:val="bullet"/>
      <w:lvlText w:val=""/>
      <w:lvlJc w:val="left"/>
      <w:pPr>
        <w:ind w:left="720" w:hanging="360"/>
      </w:pPr>
      <w:rPr>
        <w:rFonts w:ascii="Symbol" w:hAnsi="Symbol"/>
      </w:rPr>
    </w:lvl>
  </w:abstractNum>
  <w:abstractNum w:abstractNumId="19" w15:restartNumberingAfterBreak="0">
    <w:nsid w:val="542F5CF8"/>
    <w:multiLevelType w:val="hybridMultilevel"/>
    <w:tmpl w:val="2D14B7F6"/>
    <w:lvl w:ilvl="0" w:tplc="3BE4E632">
      <w:start w:val="1"/>
      <w:numFmt w:val="decimal"/>
      <w:lvlText w:val="%1."/>
      <w:lvlJc w:val="left"/>
      <w:pPr>
        <w:tabs>
          <w:tab w:val="num" w:pos="1080"/>
        </w:tabs>
        <w:ind w:left="1080" w:hanging="720"/>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BD68AEE2">
      <w:start w:val="1"/>
      <w:numFmt w:val="lowerLetter"/>
      <w:lvlText w:val="%2."/>
      <w:lvlJc w:val="left"/>
      <w:pPr>
        <w:tabs>
          <w:tab w:val="num" w:pos="1440"/>
        </w:tabs>
        <w:ind w:left="1440" w:hanging="360"/>
      </w:pPr>
    </w:lvl>
    <w:lvl w:ilvl="2" w:tplc="873A3B1E" w:tentative="1">
      <w:start w:val="1"/>
      <w:numFmt w:val="lowerRoman"/>
      <w:lvlText w:val="%3."/>
      <w:lvlJc w:val="right"/>
      <w:pPr>
        <w:tabs>
          <w:tab w:val="num" w:pos="2160"/>
        </w:tabs>
        <w:ind w:left="2160" w:hanging="180"/>
      </w:pPr>
    </w:lvl>
    <w:lvl w:ilvl="3" w:tplc="3EA81A9C" w:tentative="1">
      <w:start w:val="1"/>
      <w:numFmt w:val="decimal"/>
      <w:lvlText w:val="%4."/>
      <w:lvlJc w:val="left"/>
      <w:pPr>
        <w:tabs>
          <w:tab w:val="num" w:pos="2880"/>
        </w:tabs>
        <w:ind w:left="2880" w:hanging="360"/>
      </w:pPr>
    </w:lvl>
    <w:lvl w:ilvl="4" w:tplc="1E2A864C" w:tentative="1">
      <w:start w:val="1"/>
      <w:numFmt w:val="lowerLetter"/>
      <w:lvlText w:val="%5."/>
      <w:lvlJc w:val="left"/>
      <w:pPr>
        <w:tabs>
          <w:tab w:val="num" w:pos="3600"/>
        </w:tabs>
        <w:ind w:left="3600" w:hanging="360"/>
      </w:pPr>
    </w:lvl>
    <w:lvl w:ilvl="5" w:tplc="8286D908" w:tentative="1">
      <w:start w:val="1"/>
      <w:numFmt w:val="lowerRoman"/>
      <w:lvlText w:val="%6."/>
      <w:lvlJc w:val="right"/>
      <w:pPr>
        <w:tabs>
          <w:tab w:val="num" w:pos="4320"/>
        </w:tabs>
        <w:ind w:left="4320" w:hanging="180"/>
      </w:pPr>
    </w:lvl>
    <w:lvl w:ilvl="6" w:tplc="C814205E" w:tentative="1">
      <w:start w:val="1"/>
      <w:numFmt w:val="decimal"/>
      <w:lvlText w:val="%7."/>
      <w:lvlJc w:val="left"/>
      <w:pPr>
        <w:tabs>
          <w:tab w:val="num" w:pos="5040"/>
        </w:tabs>
        <w:ind w:left="5040" w:hanging="360"/>
      </w:pPr>
    </w:lvl>
    <w:lvl w:ilvl="7" w:tplc="232EE452" w:tentative="1">
      <w:start w:val="1"/>
      <w:numFmt w:val="lowerLetter"/>
      <w:lvlText w:val="%8."/>
      <w:lvlJc w:val="left"/>
      <w:pPr>
        <w:tabs>
          <w:tab w:val="num" w:pos="5760"/>
        </w:tabs>
        <w:ind w:left="5760" w:hanging="360"/>
      </w:pPr>
    </w:lvl>
    <w:lvl w:ilvl="8" w:tplc="BB541412" w:tentative="1">
      <w:start w:val="1"/>
      <w:numFmt w:val="lowerRoman"/>
      <w:lvlText w:val="%9."/>
      <w:lvlJc w:val="right"/>
      <w:pPr>
        <w:tabs>
          <w:tab w:val="num" w:pos="6480"/>
        </w:tabs>
        <w:ind w:left="6480" w:hanging="180"/>
      </w:pPr>
    </w:lvl>
  </w:abstractNum>
  <w:abstractNum w:abstractNumId="20" w15:restartNumberingAfterBreak="0">
    <w:nsid w:val="64E02468"/>
    <w:multiLevelType w:val="hybridMultilevel"/>
    <w:tmpl w:val="8CBC70EC"/>
    <w:lvl w:ilvl="0" w:tplc="2B1E8D20">
      <w:start w:val="1"/>
      <w:numFmt w:val="decimal"/>
      <w:lvlText w:val="%1."/>
      <w:lvlJc w:val="left"/>
      <w:pPr>
        <w:ind w:left="720" w:hanging="360"/>
      </w:pPr>
    </w:lvl>
    <w:lvl w:ilvl="1" w:tplc="8A0ED8CA">
      <w:start w:val="1"/>
      <w:numFmt w:val="lowerLetter"/>
      <w:lvlText w:val="%2."/>
      <w:lvlJc w:val="left"/>
      <w:pPr>
        <w:ind w:left="1440" w:hanging="360"/>
      </w:pPr>
    </w:lvl>
    <w:lvl w:ilvl="2" w:tplc="4BC41D6A">
      <w:start w:val="1"/>
      <w:numFmt w:val="lowerRoman"/>
      <w:lvlText w:val="%3."/>
      <w:lvlJc w:val="right"/>
      <w:pPr>
        <w:ind w:left="2160" w:hanging="180"/>
      </w:pPr>
    </w:lvl>
    <w:lvl w:ilvl="3" w:tplc="CF56A9EE">
      <w:start w:val="1"/>
      <w:numFmt w:val="decimal"/>
      <w:lvlText w:val="%4."/>
      <w:lvlJc w:val="left"/>
      <w:pPr>
        <w:ind w:left="2880" w:hanging="360"/>
      </w:pPr>
    </w:lvl>
    <w:lvl w:ilvl="4" w:tplc="AF9432B6">
      <w:start w:val="1"/>
      <w:numFmt w:val="lowerLetter"/>
      <w:lvlText w:val="%5."/>
      <w:lvlJc w:val="left"/>
      <w:pPr>
        <w:ind w:left="3600" w:hanging="360"/>
      </w:pPr>
    </w:lvl>
    <w:lvl w:ilvl="5" w:tplc="C3C4AB84">
      <w:start w:val="10"/>
      <w:numFmt w:val="bullet"/>
      <w:lvlText w:val="-"/>
      <w:lvlJc w:val="left"/>
      <w:pPr>
        <w:ind w:left="4500" w:hanging="360"/>
      </w:pPr>
      <w:rPr>
        <w:rFonts w:ascii="Calibri" w:eastAsia="Calibri" w:hAnsi="Calibri" w:cs="Calibri" w:hint="default"/>
      </w:rPr>
    </w:lvl>
    <w:lvl w:ilvl="6" w:tplc="718EF8AE" w:tentative="1">
      <w:start w:val="1"/>
      <w:numFmt w:val="decimal"/>
      <w:lvlText w:val="%7."/>
      <w:lvlJc w:val="left"/>
      <w:pPr>
        <w:ind w:left="5040" w:hanging="360"/>
      </w:pPr>
    </w:lvl>
    <w:lvl w:ilvl="7" w:tplc="B964A820" w:tentative="1">
      <w:start w:val="1"/>
      <w:numFmt w:val="lowerLetter"/>
      <w:lvlText w:val="%8."/>
      <w:lvlJc w:val="left"/>
      <w:pPr>
        <w:ind w:left="5760" w:hanging="360"/>
      </w:pPr>
    </w:lvl>
    <w:lvl w:ilvl="8" w:tplc="7608A3C6" w:tentative="1">
      <w:start w:val="1"/>
      <w:numFmt w:val="lowerRoman"/>
      <w:lvlText w:val="%9."/>
      <w:lvlJc w:val="right"/>
      <w:pPr>
        <w:ind w:left="6480" w:hanging="180"/>
      </w:pPr>
    </w:lvl>
  </w:abstractNum>
  <w:abstractNum w:abstractNumId="21" w15:restartNumberingAfterBreak="0">
    <w:nsid w:val="76ED2F31"/>
    <w:multiLevelType w:val="multilevel"/>
    <w:tmpl w:val="FA868682"/>
    <w:lvl w:ilvl="0">
      <w:start w:val="1"/>
      <w:numFmt w:val="decimal"/>
      <w:pStyle w:val="Heading1"/>
      <w:lvlText w:val="%1."/>
      <w:lvlJc w:val="left"/>
      <w:pPr>
        <w:tabs>
          <w:tab w:val="num" w:pos="360"/>
        </w:tabs>
        <w:ind w:left="0" w:firstLine="0"/>
      </w:pPr>
      <w:rPr>
        <w:rFonts w:ascii="Times New Roman" w:hAnsi="Times New Roman" w:cs="Times New Roman" w:hint="default"/>
        <w:b/>
        <w:i w:val="0"/>
        <w:caps w:val="0"/>
        <w:smallCaps w:val="0"/>
        <w:strike w:val="0"/>
        <w:dstrike w:val="0"/>
        <w:vanish w:val="0"/>
        <w:color w:val="0000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isLgl/>
      <w:lvlText w:val="%1.%2"/>
      <w:lvlJc w:val="left"/>
      <w:pPr>
        <w:tabs>
          <w:tab w:val="num" w:pos="7362"/>
        </w:tabs>
        <w:ind w:left="6480" w:firstLine="720"/>
      </w:pPr>
      <w:rPr>
        <w:rFonts w:ascii="Times New Roman" w:hAnsi="Times New Roman" w:cs="Times New Roman" w:hint="default"/>
        <w:b/>
        <w:i w:val="0"/>
        <w: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isLgl/>
      <w:lvlText w:val="%1.%2.%3"/>
      <w:lvlJc w:val="left"/>
      <w:pPr>
        <w:tabs>
          <w:tab w:val="num" w:pos="1224"/>
        </w:tabs>
        <w:ind w:left="0" w:firstLine="1440"/>
      </w:pPr>
      <w:rPr>
        <w:rFonts w:ascii="Times New Roman" w:hAnsi="Times New Roman" w:cs="Times New Roman" w:hint="default"/>
        <w:b/>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Heading4"/>
      <w:suff w:val="nothing"/>
      <w:lvlText w:val=""/>
      <w:lvlJc w:val="left"/>
      <w:pPr>
        <w:ind w:left="0" w:firstLine="0"/>
      </w:pPr>
      <w:rPr>
        <w:rFonts w:ascii="(normal text)" w:hAnsi="(normal text)"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Heading5"/>
      <w:suff w:val="nothing"/>
      <w:lvlText w:val=""/>
      <w:lvlJc w:val="left"/>
      <w:pPr>
        <w:ind w:left="360" w:hanging="36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ind w:left="360" w:hanging="36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7E945A32"/>
    <w:multiLevelType w:val="hybridMultilevel"/>
    <w:tmpl w:val="3E385062"/>
    <w:lvl w:ilvl="0" w:tplc="89C6F13A">
      <w:start w:val="1"/>
      <w:numFmt w:val="decimal"/>
      <w:lvlText w:val="%1."/>
      <w:lvlJc w:val="left"/>
      <w:pPr>
        <w:ind w:left="720" w:hanging="360"/>
      </w:pPr>
    </w:lvl>
    <w:lvl w:ilvl="1" w:tplc="BD32C256" w:tentative="1">
      <w:start w:val="1"/>
      <w:numFmt w:val="lowerLetter"/>
      <w:lvlText w:val="%2."/>
      <w:lvlJc w:val="left"/>
      <w:pPr>
        <w:ind w:left="1440" w:hanging="360"/>
      </w:pPr>
    </w:lvl>
    <w:lvl w:ilvl="2" w:tplc="16A03E32" w:tentative="1">
      <w:start w:val="1"/>
      <w:numFmt w:val="lowerRoman"/>
      <w:lvlText w:val="%3."/>
      <w:lvlJc w:val="right"/>
      <w:pPr>
        <w:ind w:left="2160" w:hanging="180"/>
      </w:pPr>
    </w:lvl>
    <w:lvl w:ilvl="3" w:tplc="873A6130" w:tentative="1">
      <w:start w:val="1"/>
      <w:numFmt w:val="decimal"/>
      <w:lvlText w:val="%4."/>
      <w:lvlJc w:val="left"/>
      <w:pPr>
        <w:ind w:left="2880" w:hanging="360"/>
      </w:pPr>
    </w:lvl>
    <w:lvl w:ilvl="4" w:tplc="C7DE4638" w:tentative="1">
      <w:start w:val="1"/>
      <w:numFmt w:val="lowerLetter"/>
      <w:lvlText w:val="%5."/>
      <w:lvlJc w:val="left"/>
      <w:pPr>
        <w:ind w:left="3600" w:hanging="360"/>
      </w:pPr>
    </w:lvl>
    <w:lvl w:ilvl="5" w:tplc="3A16A5AC" w:tentative="1">
      <w:start w:val="1"/>
      <w:numFmt w:val="lowerRoman"/>
      <w:lvlText w:val="%6."/>
      <w:lvlJc w:val="right"/>
      <w:pPr>
        <w:ind w:left="4320" w:hanging="180"/>
      </w:pPr>
    </w:lvl>
    <w:lvl w:ilvl="6" w:tplc="3030F450" w:tentative="1">
      <w:start w:val="1"/>
      <w:numFmt w:val="decimal"/>
      <w:lvlText w:val="%7."/>
      <w:lvlJc w:val="left"/>
      <w:pPr>
        <w:ind w:left="5040" w:hanging="360"/>
      </w:pPr>
    </w:lvl>
    <w:lvl w:ilvl="7" w:tplc="358E16D0" w:tentative="1">
      <w:start w:val="1"/>
      <w:numFmt w:val="lowerLetter"/>
      <w:lvlText w:val="%8."/>
      <w:lvlJc w:val="left"/>
      <w:pPr>
        <w:ind w:left="5760" w:hanging="360"/>
      </w:pPr>
    </w:lvl>
    <w:lvl w:ilvl="8" w:tplc="75302DB2" w:tentative="1">
      <w:start w:val="1"/>
      <w:numFmt w:val="lowerRoman"/>
      <w:lvlText w:val="%9."/>
      <w:lvlJc w:val="right"/>
      <w:pPr>
        <w:ind w:left="6480" w:hanging="180"/>
      </w:pPr>
    </w:lvl>
  </w:abstractNum>
  <w:abstractNum w:abstractNumId="23" w15:restartNumberingAfterBreak="0">
    <w:nsid w:val="7FC44590"/>
    <w:multiLevelType w:val="hybridMultilevel"/>
    <w:tmpl w:val="1C821340"/>
    <w:lvl w:ilvl="0" w:tplc="472613E4">
      <w:start w:val="1"/>
      <w:numFmt w:val="upperLetter"/>
      <w:lvlText w:val="%1."/>
      <w:lvlJc w:val="left"/>
      <w:pPr>
        <w:ind w:left="720" w:hanging="360"/>
      </w:pPr>
      <w:rPr>
        <w:rFonts w:hint="default"/>
      </w:rPr>
    </w:lvl>
    <w:lvl w:ilvl="1" w:tplc="6B3AF15A" w:tentative="1">
      <w:start w:val="1"/>
      <w:numFmt w:val="lowerLetter"/>
      <w:lvlText w:val="%2."/>
      <w:lvlJc w:val="left"/>
      <w:pPr>
        <w:ind w:left="1440" w:hanging="360"/>
      </w:pPr>
    </w:lvl>
    <w:lvl w:ilvl="2" w:tplc="B088FAA0" w:tentative="1">
      <w:start w:val="1"/>
      <w:numFmt w:val="lowerRoman"/>
      <w:lvlText w:val="%3."/>
      <w:lvlJc w:val="right"/>
      <w:pPr>
        <w:ind w:left="2160" w:hanging="180"/>
      </w:pPr>
    </w:lvl>
    <w:lvl w:ilvl="3" w:tplc="781660B6" w:tentative="1">
      <w:start w:val="1"/>
      <w:numFmt w:val="decimal"/>
      <w:lvlText w:val="%4."/>
      <w:lvlJc w:val="left"/>
      <w:pPr>
        <w:ind w:left="2880" w:hanging="360"/>
      </w:pPr>
    </w:lvl>
    <w:lvl w:ilvl="4" w:tplc="986602E8" w:tentative="1">
      <w:start w:val="1"/>
      <w:numFmt w:val="lowerLetter"/>
      <w:lvlText w:val="%5."/>
      <w:lvlJc w:val="left"/>
      <w:pPr>
        <w:ind w:left="3600" w:hanging="360"/>
      </w:pPr>
    </w:lvl>
    <w:lvl w:ilvl="5" w:tplc="C31A2E78" w:tentative="1">
      <w:start w:val="1"/>
      <w:numFmt w:val="lowerRoman"/>
      <w:lvlText w:val="%6."/>
      <w:lvlJc w:val="right"/>
      <w:pPr>
        <w:ind w:left="4320" w:hanging="180"/>
      </w:pPr>
    </w:lvl>
    <w:lvl w:ilvl="6" w:tplc="2A08C094" w:tentative="1">
      <w:start w:val="1"/>
      <w:numFmt w:val="decimal"/>
      <w:lvlText w:val="%7."/>
      <w:lvlJc w:val="left"/>
      <w:pPr>
        <w:ind w:left="5040" w:hanging="360"/>
      </w:pPr>
    </w:lvl>
    <w:lvl w:ilvl="7" w:tplc="A6627348" w:tentative="1">
      <w:start w:val="1"/>
      <w:numFmt w:val="lowerLetter"/>
      <w:lvlText w:val="%8."/>
      <w:lvlJc w:val="left"/>
      <w:pPr>
        <w:ind w:left="5760" w:hanging="360"/>
      </w:pPr>
    </w:lvl>
    <w:lvl w:ilvl="8" w:tplc="EA263AB0" w:tentative="1">
      <w:start w:val="1"/>
      <w:numFmt w:val="lowerRoman"/>
      <w:lvlText w:val="%9."/>
      <w:lvlJc w:val="right"/>
      <w:pPr>
        <w:ind w:left="6480" w:hanging="180"/>
      </w:pPr>
    </w:lvl>
  </w:abstractNum>
  <w:num w:numId="1" w16cid:durableId="2054304857">
    <w:abstractNumId w:val="9"/>
  </w:num>
  <w:num w:numId="2" w16cid:durableId="1330325098">
    <w:abstractNumId w:val="7"/>
  </w:num>
  <w:num w:numId="3" w16cid:durableId="151219921">
    <w:abstractNumId w:val="6"/>
  </w:num>
  <w:num w:numId="4" w16cid:durableId="1938783184">
    <w:abstractNumId w:val="5"/>
  </w:num>
  <w:num w:numId="5" w16cid:durableId="476604306">
    <w:abstractNumId w:val="4"/>
  </w:num>
  <w:num w:numId="6" w16cid:durableId="1784111815">
    <w:abstractNumId w:val="8"/>
  </w:num>
  <w:num w:numId="7" w16cid:durableId="1460149388">
    <w:abstractNumId w:val="3"/>
  </w:num>
  <w:num w:numId="8" w16cid:durableId="383876014">
    <w:abstractNumId w:val="2"/>
  </w:num>
  <w:num w:numId="9" w16cid:durableId="784159004">
    <w:abstractNumId w:val="1"/>
  </w:num>
  <w:num w:numId="10" w16cid:durableId="1212813347">
    <w:abstractNumId w:val="0"/>
  </w:num>
  <w:num w:numId="11" w16cid:durableId="407044940">
    <w:abstractNumId w:val="19"/>
  </w:num>
  <w:num w:numId="12" w16cid:durableId="23597924">
    <w:abstractNumId w:val="21"/>
  </w:num>
  <w:num w:numId="13" w16cid:durableId="1330791713">
    <w:abstractNumId w:val="14"/>
  </w:num>
  <w:num w:numId="14" w16cid:durableId="2046565889">
    <w:abstractNumId w:val="21"/>
  </w:num>
  <w:num w:numId="15" w16cid:durableId="1943218615">
    <w:abstractNumId w:val="21"/>
  </w:num>
  <w:num w:numId="16" w16cid:durableId="1544361562">
    <w:abstractNumId w:val="21"/>
  </w:num>
  <w:num w:numId="17" w16cid:durableId="1091043891">
    <w:abstractNumId w:val="21"/>
  </w:num>
  <w:num w:numId="18" w16cid:durableId="583800096">
    <w:abstractNumId w:val="21"/>
  </w:num>
  <w:num w:numId="19" w16cid:durableId="1753745118">
    <w:abstractNumId w:val="21"/>
  </w:num>
  <w:num w:numId="20" w16cid:durableId="746028222">
    <w:abstractNumId w:val="21"/>
  </w:num>
  <w:num w:numId="21" w16cid:durableId="815295109">
    <w:abstractNumId w:val="12"/>
  </w:num>
  <w:num w:numId="22" w16cid:durableId="6756150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3453826">
    <w:abstractNumId w:val="20"/>
  </w:num>
  <w:num w:numId="24" w16cid:durableId="834759614">
    <w:abstractNumId w:val="22"/>
  </w:num>
  <w:num w:numId="25" w16cid:durableId="1425540358">
    <w:abstractNumId w:val="17"/>
  </w:num>
  <w:num w:numId="26" w16cid:durableId="375928352">
    <w:abstractNumId w:val="21"/>
  </w:num>
  <w:num w:numId="27" w16cid:durableId="607086411">
    <w:abstractNumId w:val="21"/>
  </w:num>
  <w:num w:numId="28" w16cid:durableId="1579947594">
    <w:abstractNumId w:val="21"/>
  </w:num>
  <w:num w:numId="29" w16cid:durableId="377823153">
    <w:abstractNumId w:val="11"/>
  </w:num>
  <w:num w:numId="30" w16cid:durableId="966398740">
    <w:abstractNumId w:val="13"/>
  </w:num>
  <w:num w:numId="31" w16cid:durableId="1583641412">
    <w:abstractNumId w:val="21"/>
  </w:num>
  <w:num w:numId="32" w16cid:durableId="650254562">
    <w:abstractNumId w:val="10"/>
  </w:num>
  <w:num w:numId="33" w16cid:durableId="9613047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46605376">
    <w:abstractNumId w:val="23"/>
  </w:num>
  <w:num w:numId="35" w16cid:durableId="140772178">
    <w:abstractNumId w:val="15"/>
  </w:num>
  <w:num w:numId="36" w16cid:durableId="505093311">
    <w:abstractNumId w:val="16"/>
  </w:num>
  <w:num w:numId="37" w16cid:durableId="868031849">
    <w:abstractNumId w:val="21"/>
  </w:num>
  <w:num w:numId="38" w16cid:durableId="652216376">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yor, Allison">
    <w15:presenceInfo w15:providerId="AD" w15:userId="S::allison.pryor@troutman.com::3d33698a-d074-4854-96b4-067462a969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14561793"/>
    <w:docVar w:name="MPDocIDTemplate" w:val="%l| %n|v%v| %c|.%m"/>
    <w:docVar w:name="MPDocIDTemplateDefault" w:val="%l| %n|v%v| %c|.%m"/>
    <w:docVar w:name="NewDocStampType" w:val="7"/>
    <w:docVar w:name="zzmpLegacyTrailerRemovedNew" w:val="True"/>
    <w:docVar w:name="zzmpTrailerDateFormat" w:val="0"/>
  </w:docVars>
  <w:rsids>
    <w:rsidRoot w:val="00D87EC3"/>
    <w:rsid w:val="00001811"/>
    <w:rsid w:val="00002F54"/>
    <w:rsid w:val="000050F4"/>
    <w:rsid w:val="00005391"/>
    <w:rsid w:val="00010AF5"/>
    <w:rsid w:val="000111BC"/>
    <w:rsid w:val="000125E4"/>
    <w:rsid w:val="00012B28"/>
    <w:rsid w:val="00014073"/>
    <w:rsid w:val="00014AFD"/>
    <w:rsid w:val="000161B5"/>
    <w:rsid w:val="00016B96"/>
    <w:rsid w:val="0001762E"/>
    <w:rsid w:val="00021BB9"/>
    <w:rsid w:val="0002205D"/>
    <w:rsid w:val="0002657A"/>
    <w:rsid w:val="00027199"/>
    <w:rsid w:val="00027A58"/>
    <w:rsid w:val="00027CB9"/>
    <w:rsid w:val="0003178B"/>
    <w:rsid w:val="000318A9"/>
    <w:rsid w:val="000333E4"/>
    <w:rsid w:val="00035118"/>
    <w:rsid w:val="00035138"/>
    <w:rsid w:val="00036550"/>
    <w:rsid w:val="0004305D"/>
    <w:rsid w:val="00045061"/>
    <w:rsid w:val="000454FD"/>
    <w:rsid w:val="00045B14"/>
    <w:rsid w:val="000460B8"/>
    <w:rsid w:val="0004794C"/>
    <w:rsid w:val="00050B7E"/>
    <w:rsid w:val="000512B8"/>
    <w:rsid w:val="000516B1"/>
    <w:rsid w:val="0005221D"/>
    <w:rsid w:val="00052521"/>
    <w:rsid w:val="000525BC"/>
    <w:rsid w:val="000528A9"/>
    <w:rsid w:val="00052FFD"/>
    <w:rsid w:val="00053754"/>
    <w:rsid w:val="00053B76"/>
    <w:rsid w:val="000550DC"/>
    <w:rsid w:val="00057847"/>
    <w:rsid w:val="00060B61"/>
    <w:rsid w:val="000617FE"/>
    <w:rsid w:val="00061B1B"/>
    <w:rsid w:val="00064E81"/>
    <w:rsid w:val="000663B8"/>
    <w:rsid w:val="000672D7"/>
    <w:rsid w:val="00067A40"/>
    <w:rsid w:val="00070828"/>
    <w:rsid w:val="00071002"/>
    <w:rsid w:val="00072386"/>
    <w:rsid w:val="0007284B"/>
    <w:rsid w:val="00072D12"/>
    <w:rsid w:val="00074853"/>
    <w:rsid w:val="000762D1"/>
    <w:rsid w:val="00080486"/>
    <w:rsid w:val="00081E2A"/>
    <w:rsid w:val="00083D8F"/>
    <w:rsid w:val="000846FB"/>
    <w:rsid w:val="00085A20"/>
    <w:rsid w:val="000907A9"/>
    <w:rsid w:val="000975BA"/>
    <w:rsid w:val="00097F02"/>
    <w:rsid w:val="000A0257"/>
    <w:rsid w:val="000A5195"/>
    <w:rsid w:val="000A5196"/>
    <w:rsid w:val="000A6445"/>
    <w:rsid w:val="000A6BB4"/>
    <w:rsid w:val="000A6FB4"/>
    <w:rsid w:val="000B0653"/>
    <w:rsid w:val="000B1768"/>
    <w:rsid w:val="000B2228"/>
    <w:rsid w:val="000B3B58"/>
    <w:rsid w:val="000B6ACF"/>
    <w:rsid w:val="000B7880"/>
    <w:rsid w:val="000B7B73"/>
    <w:rsid w:val="000C1F4C"/>
    <w:rsid w:val="000C236C"/>
    <w:rsid w:val="000C2F67"/>
    <w:rsid w:val="000C3DA4"/>
    <w:rsid w:val="000C5F09"/>
    <w:rsid w:val="000C77C6"/>
    <w:rsid w:val="000C793E"/>
    <w:rsid w:val="000D12A5"/>
    <w:rsid w:val="000D31A8"/>
    <w:rsid w:val="000D3353"/>
    <w:rsid w:val="000D3904"/>
    <w:rsid w:val="000D4984"/>
    <w:rsid w:val="000D613E"/>
    <w:rsid w:val="000D6AB7"/>
    <w:rsid w:val="000E024C"/>
    <w:rsid w:val="000E0FD0"/>
    <w:rsid w:val="000E1018"/>
    <w:rsid w:val="000E3410"/>
    <w:rsid w:val="000E35D5"/>
    <w:rsid w:val="000E3C61"/>
    <w:rsid w:val="000E54D8"/>
    <w:rsid w:val="000E68B6"/>
    <w:rsid w:val="000E69A4"/>
    <w:rsid w:val="000F07A4"/>
    <w:rsid w:val="000F08AB"/>
    <w:rsid w:val="000F0E06"/>
    <w:rsid w:val="000F0FB5"/>
    <w:rsid w:val="000F0FD0"/>
    <w:rsid w:val="000F1B4D"/>
    <w:rsid w:val="000F7A99"/>
    <w:rsid w:val="00101943"/>
    <w:rsid w:val="00101B2D"/>
    <w:rsid w:val="00102921"/>
    <w:rsid w:val="001039D6"/>
    <w:rsid w:val="00103E23"/>
    <w:rsid w:val="00105A9B"/>
    <w:rsid w:val="00105AE9"/>
    <w:rsid w:val="0010712D"/>
    <w:rsid w:val="00110222"/>
    <w:rsid w:val="00110A0D"/>
    <w:rsid w:val="00111443"/>
    <w:rsid w:val="001121CB"/>
    <w:rsid w:val="00113A5C"/>
    <w:rsid w:val="001140E6"/>
    <w:rsid w:val="00115405"/>
    <w:rsid w:val="00115651"/>
    <w:rsid w:val="00115F12"/>
    <w:rsid w:val="0011643F"/>
    <w:rsid w:val="00116573"/>
    <w:rsid w:val="001170C9"/>
    <w:rsid w:val="00120873"/>
    <w:rsid w:val="001214CD"/>
    <w:rsid w:val="00121541"/>
    <w:rsid w:val="00121D10"/>
    <w:rsid w:val="00122590"/>
    <w:rsid w:val="0012359A"/>
    <w:rsid w:val="0012366B"/>
    <w:rsid w:val="00124477"/>
    <w:rsid w:val="00124646"/>
    <w:rsid w:val="00124A3F"/>
    <w:rsid w:val="00125A73"/>
    <w:rsid w:val="00126825"/>
    <w:rsid w:val="00127BAF"/>
    <w:rsid w:val="00127E05"/>
    <w:rsid w:val="00130A5F"/>
    <w:rsid w:val="00132236"/>
    <w:rsid w:val="001322CC"/>
    <w:rsid w:val="001333B8"/>
    <w:rsid w:val="001341BB"/>
    <w:rsid w:val="0014081A"/>
    <w:rsid w:val="001418F2"/>
    <w:rsid w:val="00141CCA"/>
    <w:rsid w:val="001423BC"/>
    <w:rsid w:val="00142960"/>
    <w:rsid w:val="001432C3"/>
    <w:rsid w:val="001439B9"/>
    <w:rsid w:val="00144E62"/>
    <w:rsid w:val="0014623F"/>
    <w:rsid w:val="00146C53"/>
    <w:rsid w:val="0015313A"/>
    <w:rsid w:val="001531CD"/>
    <w:rsid w:val="00157948"/>
    <w:rsid w:val="001609E3"/>
    <w:rsid w:val="001610B3"/>
    <w:rsid w:val="00162116"/>
    <w:rsid w:val="0016213B"/>
    <w:rsid w:val="001637F3"/>
    <w:rsid w:val="0016458B"/>
    <w:rsid w:val="001657C7"/>
    <w:rsid w:val="00165BF6"/>
    <w:rsid w:val="00166366"/>
    <w:rsid w:val="0016668B"/>
    <w:rsid w:val="00170C62"/>
    <w:rsid w:val="00172468"/>
    <w:rsid w:val="001742F2"/>
    <w:rsid w:val="0017729A"/>
    <w:rsid w:val="001803DA"/>
    <w:rsid w:val="00180E1D"/>
    <w:rsid w:val="00181DBA"/>
    <w:rsid w:val="0018245D"/>
    <w:rsid w:val="001842E1"/>
    <w:rsid w:val="00184903"/>
    <w:rsid w:val="001859B1"/>
    <w:rsid w:val="00186C95"/>
    <w:rsid w:val="00187925"/>
    <w:rsid w:val="00190E5E"/>
    <w:rsid w:val="0019313D"/>
    <w:rsid w:val="0019353B"/>
    <w:rsid w:val="00193891"/>
    <w:rsid w:val="00195158"/>
    <w:rsid w:val="001951A4"/>
    <w:rsid w:val="00197E8A"/>
    <w:rsid w:val="001A02FE"/>
    <w:rsid w:val="001A1094"/>
    <w:rsid w:val="001A1921"/>
    <w:rsid w:val="001A31AA"/>
    <w:rsid w:val="001A4955"/>
    <w:rsid w:val="001A4999"/>
    <w:rsid w:val="001A5AE0"/>
    <w:rsid w:val="001A68DC"/>
    <w:rsid w:val="001A6E45"/>
    <w:rsid w:val="001A6EA9"/>
    <w:rsid w:val="001A7129"/>
    <w:rsid w:val="001B04CE"/>
    <w:rsid w:val="001B0C66"/>
    <w:rsid w:val="001B18E1"/>
    <w:rsid w:val="001B18E9"/>
    <w:rsid w:val="001B20C4"/>
    <w:rsid w:val="001B37FE"/>
    <w:rsid w:val="001B579F"/>
    <w:rsid w:val="001B5CC3"/>
    <w:rsid w:val="001B6ECC"/>
    <w:rsid w:val="001C0A88"/>
    <w:rsid w:val="001C0FC1"/>
    <w:rsid w:val="001C1A00"/>
    <w:rsid w:val="001C1AC0"/>
    <w:rsid w:val="001C328B"/>
    <w:rsid w:val="001C47F4"/>
    <w:rsid w:val="001C611B"/>
    <w:rsid w:val="001C66F5"/>
    <w:rsid w:val="001D0F14"/>
    <w:rsid w:val="001D126B"/>
    <w:rsid w:val="001D1ECB"/>
    <w:rsid w:val="001D2D63"/>
    <w:rsid w:val="001D3E11"/>
    <w:rsid w:val="001D4991"/>
    <w:rsid w:val="001E0FAE"/>
    <w:rsid w:val="001E1617"/>
    <w:rsid w:val="001E1929"/>
    <w:rsid w:val="001E6EB1"/>
    <w:rsid w:val="001F057A"/>
    <w:rsid w:val="001F18C6"/>
    <w:rsid w:val="001F19E0"/>
    <w:rsid w:val="001F1D14"/>
    <w:rsid w:val="001F3D69"/>
    <w:rsid w:val="001F531C"/>
    <w:rsid w:val="001F72C5"/>
    <w:rsid w:val="001F73F7"/>
    <w:rsid w:val="001F7A7F"/>
    <w:rsid w:val="00201F1D"/>
    <w:rsid w:val="00201FE0"/>
    <w:rsid w:val="002041BC"/>
    <w:rsid w:val="00204734"/>
    <w:rsid w:val="002055D2"/>
    <w:rsid w:val="00205AA3"/>
    <w:rsid w:val="00206684"/>
    <w:rsid w:val="002070AE"/>
    <w:rsid w:val="00211FB8"/>
    <w:rsid w:val="00214983"/>
    <w:rsid w:val="00215B43"/>
    <w:rsid w:val="00216BD1"/>
    <w:rsid w:val="00220E3E"/>
    <w:rsid w:val="002211EA"/>
    <w:rsid w:val="00221C8E"/>
    <w:rsid w:val="00221ED9"/>
    <w:rsid w:val="0022238F"/>
    <w:rsid w:val="00222AB8"/>
    <w:rsid w:val="0022555B"/>
    <w:rsid w:val="00227545"/>
    <w:rsid w:val="00227986"/>
    <w:rsid w:val="00231D28"/>
    <w:rsid w:val="002336C1"/>
    <w:rsid w:val="002337B9"/>
    <w:rsid w:val="00240DD6"/>
    <w:rsid w:val="002410ED"/>
    <w:rsid w:val="00241A64"/>
    <w:rsid w:val="00243806"/>
    <w:rsid w:val="00243BA5"/>
    <w:rsid w:val="00244A4B"/>
    <w:rsid w:val="00244C16"/>
    <w:rsid w:val="0024529C"/>
    <w:rsid w:val="00247E1C"/>
    <w:rsid w:val="00250024"/>
    <w:rsid w:val="00250666"/>
    <w:rsid w:val="0025374A"/>
    <w:rsid w:val="002552F6"/>
    <w:rsid w:val="0025549D"/>
    <w:rsid w:val="00256B7A"/>
    <w:rsid w:val="00257323"/>
    <w:rsid w:val="002644D3"/>
    <w:rsid w:val="002645E9"/>
    <w:rsid w:val="002649D8"/>
    <w:rsid w:val="00264DA7"/>
    <w:rsid w:val="0026528D"/>
    <w:rsid w:val="0026574D"/>
    <w:rsid w:val="00266375"/>
    <w:rsid w:val="002663A8"/>
    <w:rsid w:val="002666FF"/>
    <w:rsid w:val="00266F50"/>
    <w:rsid w:val="00267295"/>
    <w:rsid w:val="002676D9"/>
    <w:rsid w:val="00270631"/>
    <w:rsid w:val="00273DBF"/>
    <w:rsid w:val="0028088B"/>
    <w:rsid w:val="00281069"/>
    <w:rsid w:val="00283330"/>
    <w:rsid w:val="0028379C"/>
    <w:rsid w:val="00283CAD"/>
    <w:rsid w:val="00283E95"/>
    <w:rsid w:val="00284579"/>
    <w:rsid w:val="00284784"/>
    <w:rsid w:val="00284B54"/>
    <w:rsid w:val="002855DF"/>
    <w:rsid w:val="0029074B"/>
    <w:rsid w:val="00290EC2"/>
    <w:rsid w:val="002917C7"/>
    <w:rsid w:val="0029208A"/>
    <w:rsid w:val="00292119"/>
    <w:rsid w:val="002923DE"/>
    <w:rsid w:val="002930A9"/>
    <w:rsid w:val="00293E76"/>
    <w:rsid w:val="0029531C"/>
    <w:rsid w:val="00295D2B"/>
    <w:rsid w:val="00295EA9"/>
    <w:rsid w:val="002968E4"/>
    <w:rsid w:val="00296D76"/>
    <w:rsid w:val="002A269E"/>
    <w:rsid w:val="002A28D9"/>
    <w:rsid w:val="002A58D5"/>
    <w:rsid w:val="002A5BAE"/>
    <w:rsid w:val="002A5EF9"/>
    <w:rsid w:val="002A6778"/>
    <w:rsid w:val="002A74CE"/>
    <w:rsid w:val="002B0536"/>
    <w:rsid w:val="002B0813"/>
    <w:rsid w:val="002B1C14"/>
    <w:rsid w:val="002B1EE8"/>
    <w:rsid w:val="002B2205"/>
    <w:rsid w:val="002B3238"/>
    <w:rsid w:val="002B48D7"/>
    <w:rsid w:val="002B5812"/>
    <w:rsid w:val="002C0223"/>
    <w:rsid w:val="002C3668"/>
    <w:rsid w:val="002C49CD"/>
    <w:rsid w:val="002C61B4"/>
    <w:rsid w:val="002C6581"/>
    <w:rsid w:val="002C65A8"/>
    <w:rsid w:val="002C67D8"/>
    <w:rsid w:val="002D184D"/>
    <w:rsid w:val="002D1BEF"/>
    <w:rsid w:val="002D3F84"/>
    <w:rsid w:val="002D43BF"/>
    <w:rsid w:val="002D6278"/>
    <w:rsid w:val="002D646E"/>
    <w:rsid w:val="002D6FA2"/>
    <w:rsid w:val="002D7551"/>
    <w:rsid w:val="002D7D4F"/>
    <w:rsid w:val="002E2295"/>
    <w:rsid w:val="002E32D0"/>
    <w:rsid w:val="002E5129"/>
    <w:rsid w:val="002E5240"/>
    <w:rsid w:val="002E540F"/>
    <w:rsid w:val="002E5807"/>
    <w:rsid w:val="002E770D"/>
    <w:rsid w:val="002F0337"/>
    <w:rsid w:val="002F12F4"/>
    <w:rsid w:val="002F2F65"/>
    <w:rsid w:val="002F348E"/>
    <w:rsid w:val="002F3BD0"/>
    <w:rsid w:val="002F5114"/>
    <w:rsid w:val="002F5665"/>
    <w:rsid w:val="002F6094"/>
    <w:rsid w:val="002F700A"/>
    <w:rsid w:val="002F70E7"/>
    <w:rsid w:val="002F71CC"/>
    <w:rsid w:val="002F7A6E"/>
    <w:rsid w:val="0030077E"/>
    <w:rsid w:val="00301864"/>
    <w:rsid w:val="00301BDC"/>
    <w:rsid w:val="00302029"/>
    <w:rsid w:val="00303D53"/>
    <w:rsid w:val="003044D0"/>
    <w:rsid w:val="00304B5E"/>
    <w:rsid w:val="00306CEA"/>
    <w:rsid w:val="00307D2A"/>
    <w:rsid w:val="00310A1C"/>
    <w:rsid w:val="00312087"/>
    <w:rsid w:val="00313E6F"/>
    <w:rsid w:val="00314796"/>
    <w:rsid w:val="003147BF"/>
    <w:rsid w:val="00314B00"/>
    <w:rsid w:val="0032006D"/>
    <w:rsid w:val="00320F74"/>
    <w:rsid w:val="00321304"/>
    <w:rsid w:val="0032352C"/>
    <w:rsid w:val="00325299"/>
    <w:rsid w:val="00327E64"/>
    <w:rsid w:val="00330933"/>
    <w:rsid w:val="00330CEC"/>
    <w:rsid w:val="00330D0F"/>
    <w:rsid w:val="00330D12"/>
    <w:rsid w:val="0033120A"/>
    <w:rsid w:val="00332A6C"/>
    <w:rsid w:val="003347D4"/>
    <w:rsid w:val="003351B3"/>
    <w:rsid w:val="00340E5B"/>
    <w:rsid w:val="00341725"/>
    <w:rsid w:val="00341756"/>
    <w:rsid w:val="00341DFC"/>
    <w:rsid w:val="0034245F"/>
    <w:rsid w:val="00342CB3"/>
    <w:rsid w:val="003432B7"/>
    <w:rsid w:val="003439D6"/>
    <w:rsid w:val="00343D04"/>
    <w:rsid w:val="00344F07"/>
    <w:rsid w:val="00346BEC"/>
    <w:rsid w:val="0035125D"/>
    <w:rsid w:val="0035226E"/>
    <w:rsid w:val="00353C0A"/>
    <w:rsid w:val="0035495D"/>
    <w:rsid w:val="0035656B"/>
    <w:rsid w:val="00356B56"/>
    <w:rsid w:val="003604D4"/>
    <w:rsid w:val="00360EDA"/>
    <w:rsid w:val="003618C9"/>
    <w:rsid w:val="00363754"/>
    <w:rsid w:val="00365590"/>
    <w:rsid w:val="00365F8D"/>
    <w:rsid w:val="00366679"/>
    <w:rsid w:val="003670B8"/>
    <w:rsid w:val="0036728A"/>
    <w:rsid w:val="00367CFA"/>
    <w:rsid w:val="00367D49"/>
    <w:rsid w:val="003721B5"/>
    <w:rsid w:val="0037297F"/>
    <w:rsid w:val="00373B19"/>
    <w:rsid w:val="00373C7B"/>
    <w:rsid w:val="00373CE9"/>
    <w:rsid w:val="00373F83"/>
    <w:rsid w:val="003743BA"/>
    <w:rsid w:val="00374AF9"/>
    <w:rsid w:val="00374CD1"/>
    <w:rsid w:val="00374FDC"/>
    <w:rsid w:val="0037637E"/>
    <w:rsid w:val="00376A66"/>
    <w:rsid w:val="0038054E"/>
    <w:rsid w:val="00381240"/>
    <w:rsid w:val="0038154D"/>
    <w:rsid w:val="003817A2"/>
    <w:rsid w:val="00382F2C"/>
    <w:rsid w:val="00383282"/>
    <w:rsid w:val="003838DF"/>
    <w:rsid w:val="00383D7A"/>
    <w:rsid w:val="0038453F"/>
    <w:rsid w:val="00385184"/>
    <w:rsid w:val="0038655D"/>
    <w:rsid w:val="00390753"/>
    <w:rsid w:val="00391485"/>
    <w:rsid w:val="00391A06"/>
    <w:rsid w:val="00391A86"/>
    <w:rsid w:val="00393808"/>
    <w:rsid w:val="00393FD4"/>
    <w:rsid w:val="00396EFC"/>
    <w:rsid w:val="00397FC4"/>
    <w:rsid w:val="003A24AE"/>
    <w:rsid w:val="003A2A23"/>
    <w:rsid w:val="003A2BAE"/>
    <w:rsid w:val="003A3C8D"/>
    <w:rsid w:val="003A458D"/>
    <w:rsid w:val="003A5A91"/>
    <w:rsid w:val="003A6540"/>
    <w:rsid w:val="003A693B"/>
    <w:rsid w:val="003A6E00"/>
    <w:rsid w:val="003A7538"/>
    <w:rsid w:val="003B0C7C"/>
    <w:rsid w:val="003B375E"/>
    <w:rsid w:val="003B54C4"/>
    <w:rsid w:val="003B5701"/>
    <w:rsid w:val="003B5824"/>
    <w:rsid w:val="003B72C5"/>
    <w:rsid w:val="003B7D39"/>
    <w:rsid w:val="003B7F7F"/>
    <w:rsid w:val="003C09C2"/>
    <w:rsid w:val="003C176A"/>
    <w:rsid w:val="003C26F7"/>
    <w:rsid w:val="003C2AF8"/>
    <w:rsid w:val="003C65F2"/>
    <w:rsid w:val="003C6921"/>
    <w:rsid w:val="003C7BF1"/>
    <w:rsid w:val="003C7FFB"/>
    <w:rsid w:val="003D1509"/>
    <w:rsid w:val="003D1711"/>
    <w:rsid w:val="003D2585"/>
    <w:rsid w:val="003D2676"/>
    <w:rsid w:val="003D3999"/>
    <w:rsid w:val="003D53C9"/>
    <w:rsid w:val="003D608F"/>
    <w:rsid w:val="003D62F5"/>
    <w:rsid w:val="003D6D2B"/>
    <w:rsid w:val="003D7099"/>
    <w:rsid w:val="003E0558"/>
    <w:rsid w:val="003E096D"/>
    <w:rsid w:val="003E135F"/>
    <w:rsid w:val="003E3A54"/>
    <w:rsid w:val="003E52DA"/>
    <w:rsid w:val="003E6F50"/>
    <w:rsid w:val="003F13E1"/>
    <w:rsid w:val="003F232D"/>
    <w:rsid w:val="003F30C4"/>
    <w:rsid w:val="003F4E06"/>
    <w:rsid w:val="003F5226"/>
    <w:rsid w:val="003F57C6"/>
    <w:rsid w:val="003F5A00"/>
    <w:rsid w:val="003F675D"/>
    <w:rsid w:val="003F7D81"/>
    <w:rsid w:val="00400C58"/>
    <w:rsid w:val="00400CD8"/>
    <w:rsid w:val="004027FE"/>
    <w:rsid w:val="004032F1"/>
    <w:rsid w:val="004049C5"/>
    <w:rsid w:val="00404E89"/>
    <w:rsid w:val="00405E51"/>
    <w:rsid w:val="00406925"/>
    <w:rsid w:val="00407E6F"/>
    <w:rsid w:val="004103FA"/>
    <w:rsid w:val="00410874"/>
    <w:rsid w:val="004118CA"/>
    <w:rsid w:val="00413409"/>
    <w:rsid w:val="0041447F"/>
    <w:rsid w:val="00417743"/>
    <w:rsid w:val="00421CD5"/>
    <w:rsid w:val="00421F4B"/>
    <w:rsid w:val="00425915"/>
    <w:rsid w:val="00430383"/>
    <w:rsid w:val="004307DE"/>
    <w:rsid w:val="00431128"/>
    <w:rsid w:val="004327D9"/>
    <w:rsid w:val="0043319D"/>
    <w:rsid w:val="004331BC"/>
    <w:rsid w:val="00433486"/>
    <w:rsid w:val="0043424E"/>
    <w:rsid w:val="004345DB"/>
    <w:rsid w:val="00434B49"/>
    <w:rsid w:val="00435521"/>
    <w:rsid w:val="004366CA"/>
    <w:rsid w:val="00437E4B"/>
    <w:rsid w:val="00437FA1"/>
    <w:rsid w:val="00437FDE"/>
    <w:rsid w:val="00440C75"/>
    <w:rsid w:val="00442C93"/>
    <w:rsid w:val="00442C9E"/>
    <w:rsid w:val="00443236"/>
    <w:rsid w:val="00443960"/>
    <w:rsid w:val="0044434C"/>
    <w:rsid w:val="004449EE"/>
    <w:rsid w:val="00446E44"/>
    <w:rsid w:val="004473C3"/>
    <w:rsid w:val="004477FE"/>
    <w:rsid w:val="00451083"/>
    <w:rsid w:val="0045145A"/>
    <w:rsid w:val="00451867"/>
    <w:rsid w:val="00451A5D"/>
    <w:rsid w:val="00451B50"/>
    <w:rsid w:val="00451EB7"/>
    <w:rsid w:val="004523AC"/>
    <w:rsid w:val="004539D8"/>
    <w:rsid w:val="00455799"/>
    <w:rsid w:val="00455CD5"/>
    <w:rsid w:val="00460654"/>
    <w:rsid w:val="00461BE4"/>
    <w:rsid w:val="0046322C"/>
    <w:rsid w:val="004635B2"/>
    <w:rsid w:val="00463CC3"/>
    <w:rsid w:val="0046496E"/>
    <w:rsid w:val="004658C3"/>
    <w:rsid w:val="0046694F"/>
    <w:rsid w:val="0046701A"/>
    <w:rsid w:val="00467392"/>
    <w:rsid w:val="00467EF9"/>
    <w:rsid w:val="004715AA"/>
    <w:rsid w:val="00472F77"/>
    <w:rsid w:val="0047433A"/>
    <w:rsid w:val="004755DC"/>
    <w:rsid w:val="00475650"/>
    <w:rsid w:val="00475AE7"/>
    <w:rsid w:val="00475BEA"/>
    <w:rsid w:val="00480EE0"/>
    <w:rsid w:val="00481BE0"/>
    <w:rsid w:val="004836A8"/>
    <w:rsid w:val="00484093"/>
    <w:rsid w:val="004847F5"/>
    <w:rsid w:val="00486157"/>
    <w:rsid w:val="0048762F"/>
    <w:rsid w:val="004878E8"/>
    <w:rsid w:val="00490CC5"/>
    <w:rsid w:val="00490D49"/>
    <w:rsid w:val="0049209C"/>
    <w:rsid w:val="00492D50"/>
    <w:rsid w:val="00494BD4"/>
    <w:rsid w:val="00494FA8"/>
    <w:rsid w:val="004952C3"/>
    <w:rsid w:val="00495FFD"/>
    <w:rsid w:val="00496F88"/>
    <w:rsid w:val="004978D8"/>
    <w:rsid w:val="004A0EB4"/>
    <w:rsid w:val="004A3618"/>
    <w:rsid w:val="004A4613"/>
    <w:rsid w:val="004A48E5"/>
    <w:rsid w:val="004B03A0"/>
    <w:rsid w:val="004B05D7"/>
    <w:rsid w:val="004B08F1"/>
    <w:rsid w:val="004B0943"/>
    <w:rsid w:val="004B13EB"/>
    <w:rsid w:val="004B373D"/>
    <w:rsid w:val="004B41BA"/>
    <w:rsid w:val="004B48DB"/>
    <w:rsid w:val="004B5796"/>
    <w:rsid w:val="004B5826"/>
    <w:rsid w:val="004B6030"/>
    <w:rsid w:val="004B61DE"/>
    <w:rsid w:val="004B7C4D"/>
    <w:rsid w:val="004B7ED5"/>
    <w:rsid w:val="004B7EDC"/>
    <w:rsid w:val="004C07E8"/>
    <w:rsid w:val="004C1216"/>
    <w:rsid w:val="004C184E"/>
    <w:rsid w:val="004C2053"/>
    <w:rsid w:val="004C2B1B"/>
    <w:rsid w:val="004C3F83"/>
    <w:rsid w:val="004C43FB"/>
    <w:rsid w:val="004C4699"/>
    <w:rsid w:val="004C66D8"/>
    <w:rsid w:val="004C6A46"/>
    <w:rsid w:val="004D0439"/>
    <w:rsid w:val="004D0C68"/>
    <w:rsid w:val="004D0F8C"/>
    <w:rsid w:val="004D1032"/>
    <w:rsid w:val="004D1E68"/>
    <w:rsid w:val="004D2183"/>
    <w:rsid w:val="004D395E"/>
    <w:rsid w:val="004D5451"/>
    <w:rsid w:val="004D5F18"/>
    <w:rsid w:val="004D7078"/>
    <w:rsid w:val="004D7389"/>
    <w:rsid w:val="004D766C"/>
    <w:rsid w:val="004E0E18"/>
    <w:rsid w:val="004E18C4"/>
    <w:rsid w:val="004E283F"/>
    <w:rsid w:val="004E3649"/>
    <w:rsid w:val="004E614C"/>
    <w:rsid w:val="004E67AA"/>
    <w:rsid w:val="004E7710"/>
    <w:rsid w:val="004F067E"/>
    <w:rsid w:val="004F0DA0"/>
    <w:rsid w:val="004F11FB"/>
    <w:rsid w:val="004F1501"/>
    <w:rsid w:val="004F2A28"/>
    <w:rsid w:val="004F2EB0"/>
    <w:rsid w:val="004F3D8E"/>
    <w:rsid w:val="004F47AB"/>
    <w:rsid w:val="004F5D85"/>
    <w:rsid w:val="004F5D95"/>
    <w:rsid w:val="004F686A"/>
    <w:rsid w:val="004F7137"/>
    <w:rsid w:val="005001A9"/>
    <w:rsid w:val="00501412"/>
    <w:rsid w:val="005014DF"/>
    <w:rsid w:val="00502A33"/>
    <w:rsid w:val="00503815"/>
    <w:rsid w:val="00503927"/>
    <w:rsid w:val="00506DA7"/>
    <w:rsid w:val="005076FD"/>
    <w:rsid w:val="00513903"/>
    <w:rsid w:val="00513DFD"/>
    <w:rsid w:val="005148E2"/>
    <w:rsid w:val="00515CDF"/>
    <w:rsid w:val="00517FF3"/>
    <w:rsid w:val="0052320E"/>
    <w:rsid w:val="00523544"/>
    <w:rsid w:val="00523FD3"/>
    <w:rsid w:val="00524A8D"/>
    <w:rsid w:val="0052542E"/>
    <w:rsid w:val="00527828"/>
    <w:rsid w:val="0053095C"/>
    <w:rsid w:val="00531568"/>
    <w:rsid w:val="00531E6A"/>
    <w:rsid w:val="00532574"/>
    <w:rsid w:val="005330FC"/>
    <w:rsid w:val="0053345C"/>
    <w:rsid w:val="00533C3D"/>
    <w:rsid w:val="00535901"/>
    <w:rsid w:val="005369BD"/>
    <w:rsid w:val="0054110D"/>
    <w:rsid w:val="0054159D"/>
    <w:rsid w:val="005442EA"/>
    <w:rsid w:val="00546E30"/>
    <w:rsid w:val="005535E9"/>
    <w:rsid w:val="005541CE"/>
    <w:rsid w:val="00555073"/>
    <w:rsid w:val="00555572"/>
    <w:rsid w:val="00555937"/>
    <w:rsid w:val="005562E0"/>
    <w:rsid w:val="005573E9"/>
    <w:rsid w:val="005576EA"/>
    <w:rsid w:val="00557E5F"/>
    <w:rsid w:val="00563501"/>
    <w:rsid w:val="00563546"/>
    <w:rsid w:val="005636BE"/>
    <w:rsid w:val="005657CF"/>
    <w:rsid w:val="00567573"/>
    <w:rsid w:val="005678FC"/>
    <w:rsid w:val="00570089"/>
    <w:rsid w:val="00570162"/>
    <w:rsid w:val="005702AB"/>
    <w:rsid w:val="0057200C"/>
    <w:rsid w:val="0057247E"/>
    <w:rsid w:val="00572819"/>
    <w:rsid w:val="0057331F"/>
    <w:rsid w:val="00574644"/>
    <w:rsid w:val="0057510E"/>
    <w:rsid w:val="0057584C"/>
    <w:rsid w:val="005775EE"/>
    <w:rsid w:val="00580390"/>
    <w:rsid w:val="005844D2"/>
    <w:rsid w:val="00584C6D"/>
    <w:rsid w:val="005850ED"/>
    <w:rsid w:val="0058549F"/>
    <w:rsid w:val="005871BA"/>
    <w:rsid w:val="0058752F"/>
    <w:rsid w:val="00587921"/>
    <w:rsid w:val="00590C4C"/>
    <w:rsid w:val="00591BCC"/>
    <w:rsid w:val="00594379"/>
    <w:rsid w:val="005A0B27"/>
    <w:rsid w:val="005A1FCE"/>
    <w:rsid w:val="005A2176"/>
    <w:rsid w:val="005A511F"/>
    <w:rsid w:val="005A611B"/>
    <w:rsid w:val="005A7253"/>
    <w:rsid w:val="005B0574"/>
    <w:rsid w:val="005B5FD3"/>
    <w:rsid w:val="005B6159"/>
    <w:rsid w:val="005B6815"/>
    <w:rsid w:val="005B6B98"/>
    <w:rsid w:val="005B7DE9"/>
    <w:rsid w:val="005C0A31"/>
    <w:rsid w:val="005C0E8C"/>
    <w:rsid w:val="005C17AF"/>
    <w:rsid w:val="005C2052"/>
    <w:rsid w:val="005C2552"/>
    <w:rsid w:val="005C48F3"/>
    <w:rsid w:val="005C542D"/>
    <w:rsid w:val="005C552A"/>
    <w:rsid w:val="005C55C9"/>
    <w:rsid w:val="005C795A"/>
    <w:rsid w:val="005C7A31"/>
    <w:rsid w:val="005D0077"/>
    <w:rsid w:val="005D104C"/>
    <w:rsid w:val="005D3A4C"/>
    <w:rsid w:val="005D47DE"/>
    <w:rsid w:val="005D5A2B"/>
    <w:rsid w:val="005D6E46"/>
    <w:rsid w:val="005D7AB2"/>
    <w:rsid w:val="005D7ED0"/>
    <w:rsid w:val="005E1649"/>
    <w:rsid w:val="005E1CFC"/>
    <w:rsid w:val="005E1D7D"/>
    <w:rsid w:val="005E2EA6"/>
    <w:rsid w:val="005E389C"/>
    <w:rsid w:val="005E4E06"/>
    <w:rsid w:val="005E5591"/>
    <w:rsid w:val="005E5606"/>
    <w:rsid w:val="005E56C2"/>
    <w:rsid w:val="005E57AD"/>
    <w:rsid w:val="005E5DF2"/>
    <w:rsid w:val="005E5F74"/>
    <w:rsid w:val="005E6714"/>
    <w:rsid w:val="005E6C65"/>
    <w:rsid w:val="005F0381"/>
    <w:rsid w:val="005F129A"/>
    <w:rsid w:val="005F1D8C"/>
    <w:rsid w:val="005F2C2A"/>
    <w:rsid w:val="005F43D6"/>
    <w:rsid w:val="005F52F4"/>
    <w:rsid w:val="005F572E"/>
    <w:rsid w:val="005F5C7B"/>
    <w:rsid w:val="005F713C"/>
    <w:rsid w:val="005F71A4"/>
    <w:rsid w:val="00603469"/>
    <w:rsid w:val="00603EC1"/>
    <w:rsid w:val="00604934"/>
    <w:rsid w:val="006053AA"/>
    <w:rsid w:val="00605E1B"/>
    <w:rsid w:val="00606536"/>
    <w:rsid w:val="00607CB1"/>
    <w:rsid w:val="00610268"/>
    <w:rsid w:val="006115F6"/>
    <w:rsid w:val="006121B8"/>
    <w:rsid w:val="006126D6"/>
    <w:rsid w:val="00614DE6"/>
    <w:rsid w:val="00615EA7"/>
    <w:rsid w:val="006167F4"/>
    <w:rsid w:val="00616E5E"/>
    <w:rsid w:val="006217FC"/>
    <w:rsid w:val="006235AF"/>
    <w:rsid w:val="00624BE1"/>
    <w:rsid w:val="00625D8C"/>
    <w:rsid w:val="0062645B"/>
    <w:rsid w:val="00626505"/>
    <w:rsid w:val="00626C3E"/>
    <w:rsid w:val="00627FC3"/>
    <w:rsid w:val="006307CC"/>
    <w:rsid w:val="00631A31"/>
    <w:rsid w:val="0063247B"/>
    <w:rsid w:val="00633104"/>
    <w:rsid w:val="00633992"/>
    <w:rsid w:val="00633C58"/>
    <w:rsid w:val="0063525C"/>
    <w:rsid w:val="006355E2"/>
    <w:rsid w:val="00640CAF"/>
    <w:rsid w:val="00644A43"/>
    <w:rsid w:val="00645F40"/>
    <w:rsid w:val="00647357"/>
    <w:rsid w:val="00650841"/>
    <w:rsid w:val="00652921"/>
    <w:rsid w:val="00653060"/>
    <w:rsid w:val="0065314F"/>
    <w:rsid w:val="00653EBE"/>
    <w:rsid w:val="0065559A"/>
    <w:rsid w:val="006561D8"/>
    <w:rsid w:val="006564D0"/>
    <w:rsid w:val="00660922"/>
    <w:rsid w:val="00660B04"/>
    <w:rsid w:val="00660D37"/>
    <w:rsid w:val="00661A1C"/>
    <w:rsid w:val="006625BA"/>
    <w:rsid w:val="0066360D"/>
    <w:rsid w:val="00663890"/>
    <w:rsid w:val="00663CB6"/>
    <w:rsid w:val="0066671A"/>
    <w:rsid w:val="00667044"/>
    <w:rsid w:val="006674F2"/>
    <w:rsid w:val="00667FA4"/>
    <w:rsid w:val="00671445"/>
    <w:rsid w:val="00673C9B"/>
    <w:rsid w:val="00673D31"/>
    <w:rsid w:val="0067423C"/>
    <w:rsid w:val="0068154C"/>
    <w:rsid w:val="006815AB"/>
    <w:rsid w:val="00682A87"/>
    <w:rsid w:val="00682D31"/>
    <w:rsid w:val="006830C4"/>
    <w:rsid w:val="0068559D"/>
    <w:rsid w:val="00691520"/>
    <w:rsid w:val="00692828"/>
    <w:rsid w:val="00692C6F"/>
    <w:rsid w:val="006935FB"/>
    <w:rsid w:val="00693BCD"/>
    <w:rsid w:val="0069504B"/>
    <w:rsid w:val="00695480"/>
    <w:rsid w:val="006954A1"/>
    <w:rsid w:val="00697B2A"/>
    <w:rsid w:val="006A039C"/>
    <w:rsid w:val="006A2CBF"/>
    <w:rsid w:val="006A400D"/>
    <w:rsid w:val="006A5745"/>
    <w:rsid w:val="006A6443"/>
    <w:rsid w:val="006A6725"/>
    <w:rsid w:val="006B0029"/>
    <w:rsid w:val="006B04F7"/>
    <w:rsid w:val="006B3776"/>
    <w:rsid w:val="006B3CD3"/>
    <w:rsid w:val="006C0249"/>
    <w:rsid w:val="006C1576"/>
    <w:rsid w:val="006C19E3"/>
    <w:rsid w:val="006C2271"/>
    <w:rsid w:val="006C35CC"/>
    <w:rsid w:val="006C3D13"/>
    <w:rsid w:val="006C4CDE"/>
    <w:rsid w:val="006C61BA"/>
    <w:rsid w:val="006D0568"/>
    <w:rsid w:val="006D0AEE"/>
    <w:rsid w:val="006D3764"/>
    <w:rsid w:val="006D55D1"/>
    <w:rsid w:val="006D5DDB"/>
    <w:rsid w:val="006D71B4"/>
    <w:rsid w:val="006E3F74"/>
    <w:rsid w:val="006E4137"/>
    <w:rsid w:val="006E4190"/>
    <w:rsid w:val="006E4B2A"/>
    <w:rsid w:val="006E5B65"/>
    <w:rsid w:val="006E7054"/>
    <w:rsid w:val="006F710E"/>
    <w:rsid w:val="006F7B5B"/>
    <w:rsid w:val="0070071B"/>
    <w:rsid w:val="00701B12"/>
    <w:rsid w:val="007020BD"/>
    <w:rsid w:val="007021BA"/>
    <w:rsid w:val="0070220A"/>
    <w:rsid w:val="00702D57"/>
    <w:rsid w:val="00703239"/>
    <w:rsid w:val="00706AED"/>
    <w:rsid w:val="007077E9"/>
    <w:rsid w:val="00707F4F"/>
    <w:rsid w:val="007102A5"/>
    <w:rsid w:val="00710B42"/>
    <w:rsid w:val="007113A8"/>
    <w:rsid w:val="00712641"/>
    <w:rsid w:val="007132A7"/>
    <w:rsid w:val="00714246"/>
    <w:rsid w:val="00717299"/>
    <w:rsid w:val="007172D0"/>
    <w:rsid w:val="00717402"/>
    <w:rsid w:val="00720730"/>
    <w:rsid w:val="007207D6"/>
    <w:rsid w:val="00720CF9"/>
    <w:rsid w:val="0072137B"/>
    <w:rsid w:val="00725B54"/>
    <w:rsid w:val="00733149"/>
    <w:rsid w:val="00733EA2"/>
    <w:rsid w:val="0073445F"/>
    <w:rsid w:val="00734569"/>
    <w:rsid w:val="00736139"/>
    <w:rsid w:val="0073647C"/>
    <w:rsid w:val="00737C14"/>
    <w:rsid w:val="007406B4"/>
    <w:rsid w:val="00740D43"/>
    <w:rsid w:val="00741700"/>
    <w:rsid w:val="00743F71"/>
    <w:rsid w:val="007446EA"/>
    <w:rsid w:val="00750C08"/>
    <w:rsid w:val="0075247D"/>
    <w:rsid w:val="0075294C"/>
    <w:rsid w:val="00753276"/>
    <w:rsid w:val="00755068"/>
    <w:rsid w:val="00756D03"/>
    <w:rsid w:val="0075772C"/>
    <w:rsid w:val="00761601"/>
    <w:rsid w:val="00761FEE"/>
    <w:rsid w:val="0076263E"/>
    <w:rsid w:val="00762B96"/>
    <w:rsid w:val="00763791"/>
    <w:rsid w:val="0076426C"/>
    <w:rsid w:val="00766EAC"/>
    <w:rsid w:val="007678C6"/>
    <w:rsid w:val="00771736"/>
    <w:rsid w:val="007748E2"/>
    <w:rsid w:val="007748ED"/>
    <w:rsid w:val="00774B02"/>
    <w:rsid w:val="007761A7"/>
    <w:rsid w:val="007764EA"/>
    <w:rsid w:val="0077675A"/>
    <w:rsid w:val="007774FA"/>
    <w:rsid w:val="0078049E"/>
    <w:rsid w:val="00780CCD"/>
    <w:rsid w:val="007827CD"/>
    <w:rsid w:val="0078285A"/>
    <w:rsid w:val="00783DA1"/>
    <w:rsid w:val="00784244"/>
    <w:rsid w:val="00785937"/>
    <w:rsid w:val="00785F67"/>
    <w:rsid w:val="00786E0A"/>
    <w:rsid w:val="00793033"/>
    <w:rsid w:val="0079402A"/>
    <w:rsid w:val="00794129"/>
    <w:rsid w:val="0079412D"/>
    <w:rsid w:val="00796688"/>
    <w:rsid w:val="00796CFA"/>
    <w:rsid w:val="00796EE7"/>
    <w:rsid w:val="007A037B"/>
    <w:rsid w:val="007A1D0E"/>
    <w:rsid w:val="007A22E0"/>
    <w:rsid w:val="007A2AB5"/>
    <w:rsid w:val="007A3A2E"/>
    <w:rsid w:val="007A3D92"/>
    <w:rsid w:val="007A4281"/>
    <w:rsid w:val="007A5C2D"/>
    <w:rsid w:val="007A6309"/>
    <w:rsid w:val="007A70A0"/>
    <w:rsid w:val="007A78EF"/>
    <w:rsid w:val="007B079C"/>
    <w:rsid w:val="007B0B9D"/>
    <w:rsid w:val="007B18F9"/>
    <w:rsid w:val="007B249D"/>
    <w:rsid w:val="007B2638"/>
    <w:rsid w:val="007B2931"/>
    <w:rsid w:val="007C3006"/>
    <w:rsid w:val="007C407A"/>
    <w:rsid w:val="007C46ED"/>
    <w:rsid w:val="007C6D65"/>
    <w:rsid w:val="007C7208"/>
    <w:rsid w:val="007D0467"/>
    <w:rsid w:val="007D0743"/>
    <w:rsid w:val="007D33B4"/>
    <w:rsid w:val="007D7ABB"/>
    <w:rsid w:val="007E05B3"/>
    <w:rsid w:val="007E0A5D"/>
    <w:rsid w:val="007E1FFC"/>
    <w:rsid w:val="007E21AB"/>
    <w:rsid w:val="007E2ECA"/>
    <w:rsid w:val="007E3093"/>
    <w:rsid w:val="007E30C2"/>
    <w:rsid w:val="007E4C9A"/>
    <w:rsid w:val="007E5ED5"/>
    <w:rsid w:val="007F0064"/>
    <w:rsid w:val="007F0A22"/>
    <w:rsid w:val="007F16FB"/>
    <w:rsid w:val="007F3A41"/>
    <w:rsid w:val="007F5D59"/>
    <w:rsid w:val="007F74A8"/>
    <w:rsid w:val="007F7CC1"/>
    <w:rsid w:val="00800DFB"/>
    <w:rsid w:val="00801F77"/>
    <w:rsid w:val="008026A3"/>
    <w:rsid w:val="0080288E"/>
    <w:rsid w:val="00803582"/>
    <w:rsid w:val="0080611C"/>
    <w:rsid w:val="00807792"/>
    <w:rsid w:val="00807E10"/>
    <w:rsid w:val="00812449"/>
    <w:rsid w:val="00815C47"/>
    <w:rsid w:val="008168D2"/>
    <w:rsid w:val="00817326"/>
    <w:rsid w:val="0082034D"/>
    <w:rsid w:val="00820546"/>
    <w:rsid w:val="00820D86"/>
    <w:rsid w:val="008230E2"/>
    <w:rsid w:val="00825105"/>
    <w:rsid w:val="00825AB8"/>
    <w:rsid w:val="00825FE0"/>
    <w:rsid w:val="00826039"/>
    <w:rsid w:val="00826C52"/>
    <w:rsid w:val="00830048"/>
    <w:rsid w:val="00830551"/>
    <w:rsid w:val="0083354C"/>
    <w:rsid w:val="008346A7"/>
    <w:rsid w:val="008355AE"/>
    <w:rsid w:val="0083581C"/>
    <w:rsid w:val="00836B83"/>
    <w:rsid w:val="008406FE"/>
    <w:rsid w:val="00840F15"/>
    <w:rsid w:val="0084347F"/>
    <w:rsid w:val="00843F67"/>
    <w:rsid w:val="00844F9A"/>
    <w:rsid w:val="00846DDF"/>
    <w:rsid w:val="00851286"/>
    <w:rsid w:val="008515FE"/>
    <w:rsid w:val="0085255A"/>
    <w:rsid w:val="00853DCF"/>
    <w:rsid w:val="00856227"/>
    <w:rsid w:val="00857BB4"/>
    <w:rsid w:val="00862C45"/>
    <w:rsid w:val="0086455F"/>
    <w:rsid w:val="00867A8A"/>
    <w:rsid w:val="0087032E"/>
    <w:rsid w:val="00870F2C"/>
    <w:rsid w:val="00873115"/>
    <w:rsid w:val="00874F45"/>
    <w:rsid w:val="00875A96"/>
    <w:rsid w:val="00876485"/>
    <w:rsid w:val="00880574"/>
    <w:rsid w:val="0088243A"/>
    <w:rsid w:val="00882AF9"/>
    <w:rsid w:val="00882C30"/>
    <w:rsid w:val="00882D03"/>
    <w:rsid w:val="00882F60"/>
    <w:rsid w:val="0088317D"/>
    <w:rsid w:val="0088372F"/>
    <w:rsid w:val="00883C23"/>
    <w:rsid w:val="00884D57"/>
    <w:rsid w:val="008904DD"/>
    <w:rsid w:val="00891A50"/>
    <w:rsid w:val="0089299E"/>
    <w:rsid w:val="008941ED"/>
    <w:rsid w:val="00897587"/>
    <w:rsid w:val="00897EC3"/>
    <w:rsid w:val="008A26F5"/>
    <w:rsid w:val="008A2AFB"/>
    <w:rsid w:val="008A2B84"/>
    <w:rsid w:val="008A3D4B"/>
    <w:rsid w:val="008A5A44"/>
    <w:rsid w:val="008A7B7F"/>
    <w:rsid w:val="008B0CB4"/>
    <w:rsid w:val="008B1ADE"/>
    <w:rsid w:val="008B1E5A"/>
    <w:rsid w:val="008B220B"/>
    <w:rsid w:val="008B292E"/>
    <w:rsid w:val="008B43D5"/>
    <w:rsid w:val="008B4CFE"/>
    <w:rsid w:val="008B51EF"/>
    <w:rsid w:val="008B6AC0"/>
    <w:rsid w:val="008C0530"/>
    <w:rsid w:val="008C07AF"/>
    <w:rsid w:val="008C251C"/>
    <w:rsid w:val="008C5335"/>
    <w:rsid w:val="008C5937"/>
    <w:rsid w:val="008D1880"/>
    <w:rsid w:val="008D1E86"/>
    <w:rsid w:val="008D36B2"/>
    <w:rsid w:val="008D3919"/>
    <w:rsid w:val="008D3C38"/>
    <w:rsid w:val="008D4AE5"/>
    <w:rsid w:val="008D4D31"/>
    <w:rsid w:val="008D4EA1"/>
    <w:rsid w:val="008D7A9E"/>
    <w:rsid w:val="008E47F8"/>
    <w:rsid w:val="008E4C78"/>
    <w:rsid w:val="008E5503"/>
    <w:rsid w:val="008E69E0"/>
    <w:rsid w:val="008E6DB2"/>
    <w:rsid w:val="008E7B88"/>
    <w:rsid w:val="008F2320"/>
    <w:rsid w:val="008F2ACB"/>
    <w:rsid w:val="008F47A4"/>
    <w:rsid w:val="008F67E4"/>
    <w:rsid w:val="009013BC"/>
    <w:rsid w:val="0090274D"/>
    <w:rsid w:val="009035E1"/>
    <w:rsid w:val="00905673"/>
    <w:rsid w:val="009073B8"/>
    <w:rsid w:val="00910B4F"/>
    <w:rsid w:val="00910C28"/>
    <w:rsid w:val="00910E11"/>
    <w:rsid w:val="009120FA"/>
    <w:rsid w:val="0091236D"/>
    <w:rsid w:val="0091434E"/>
    <w:rsid w:val="00915573"/>
    <w:rsid w:val="00917FE7"/>
    <w:rsid w:val="009201B1"/>
    <w:rsid w:val="009203EB"/>
    <w:rsid w:val="0092064E"/>
    <w:rsid w:val="00920B61"/>
    <w:rsid w:val="009211A2"/>
    <w:rsid w:val="009218A9"/>
    <w:rsid w:val="00921D05"/>
    <w:rsid w:val="009222E8"/>
    <w:rsid w:val="00922446"/>
    <w:rsid w:val="00923365"/>
    <w:rsid w:val="00923844"/>
    <w:rsid w:val="009262B9"/>
    <w:rsid w:val="0092633C"/>
    <w:rsid w:val="00926EA7"/>
    <w:rsid w:val="009303DD"/>
    <w:rsid w:val="009310AD"/>
    <w:rsid w:val="00933191"/>
    <w:rsid w:val="0093564C"/>
    <w:rsid w:val="009378E1"/>
    <w:rsid w:val="00937FB5"/>
    <w:rsid w:val="00940509"/>
    <w:rsid w:val="009417B4"/>
    <w:rsid w:val="00941E0F"/>
    <w:rsid w:val="00941E9C"/>
    <w:rsid w:val="009428D5"/>
    <w:rsid w:val="00942C97"/>
    <w:rsid w:val="009432CA"/>
    <w:rsid w:val="0094419A"/>
    <w:rsid w:val="0094522F"/>
    <w:rsid w:val="00945D32"/>
    <w:rsid w:val="00945E65"/>
    <w:rsid w:val="00945FC0"/>
    <w:rsid w:val="00947ACD"/>
    <w:rsid w:val="009542FA"/>
    <w:rsid w:val="00955F2D"/>
    <w:rsid w:val="009564C2"/>
    <w:rsid w:val="00957A21"/>
    <w:rsid w:val="0096237F"/>
    <w:rsid w:val="00962B05"/>
    <w:rsid w:val="00963174"/>
    <w:rsid w:val="009714D4"/>
    <w:rsid w:val="00971B47"/>
    <w:rsid w:val="00972C00"/>
    <w:rsid w:val="00973DBE"/>
    <w:rsid w:val="009744D9"/>
    <w:rsid w:val="009750CE"/>
    <w:rsid w:val="009754AF"/>
    <w:rsid w:val="00975C17"/>
    <w:rsid w:val="0097617D"/>
    <w:rsid w:val="00976F4D"/>
    <w:rsid w:val="00977CD6"/>
    <w:rsid w:val="0098129E"/>
    <w:rsid w:val="00981436"/>
    <w:rsid w:val="0098324D"/>
    <w:rsid w:val="00983A7E"/>
    <w:rsid w:val="009850D1"/>
    <w:rsid w:val="00985A89"/>
    <w:rsid w:val="00986630"/>
    <w:rsid w:val="00987F70"/>
    <w:rsid w:val="009929F0"/>
    <w:rsid w:val="00992F1F"/>
    <w:rsid w:val="00993015"/>
    <w:rsid w:val="0099345E"/>
    <w:rsid w:val="0099450D"/>
    <w:rsid w:val="009A183F"/>
    <w:rsid w:val="009A1F1B"/>
    <w:rsid w:val="009A2CF1"/>
    <w:rsid w:val="009A4E44"/>
    <w:rsid w:val="009A78F9"/>
    <w:rsid w:val="009A7DC0"/>
    <w:rsid w:val="009A7DC5"/>
    <w:rsid w:val="009B01B3"/>
    <w:rsid w:val="009B12F4"/>
    <w:rsid w:val="009B280B"/>
    <w:rsid w:val="009B2888"/>
    <w:rsid w:val="009B2CF1"/>
    <w:rsid w:val="009B2DAF"/>
    <w:rsid w:val="009B2F80"/>
    <w:rsid w:val="009B36A8"/>
    <w:rsid w:val="009B5E3D"/>
    <w:rsid w:val="009B6031"/>
    <w:rsid w:val="009B61D5"/>
    <w:rsid w:val="009B6407"/>
    <w:rsid w:val="009B73D4"/>
    <w:rsid w:val="009B7E64"/>
    <w:rsid w:val="009C1AB2"/>
    <w:rsid w:val="009C32CD"/>
    <w:rsid w:val="009C3C9C"/>
    <w:rsid w:val="009C45C3"/>
    <w:rsid w:val="009C69C6"/>
    <w:rsid w:val="009C7DD5"/>
    <w:rsid w:val="009D0707"/>
    <w:rsid w:val="009D0CEB"/>
    <w:rsid w:val="009D148D"/>
    <w:rsid w:val="009D1A5F"/>
    <w:rsid w:val="009D2C59"/>
    <w:rsid w:val="009D2E15"/>
    <w:rsid w:val="009D393C"/>
    <w:rsid w:val="009D5061"/>
    <w:rsid w:val="009D5FD8"/>
    <w:rsid w:val="009D64E8"/>
    <w:rsid w:val="009D65A4"/>
    <w:rsid w:val="009D6DC6"/>
    <w:rsid w:val="009D79C0"/>
    <w:rsid w:val="009E0620"/>
    <w:rsid w:val="009E1A14"/>
    <w:rsid w:val="009E39CF"/>
    <w:rsid w:val="009E5120"/>
    <w:rsid w:val="009E7D47"/>
    <w:rsid w:val="009F0B0D"/>
    <w:rsid w:val="009F0EF7"/>
    <w:rsid w:val="009F153E"/>
    <w:rsid w:val="009F1909"/>
    <w:rsid w:val="009F1B34"/>
    <w:rsid w:val="009F47FC"/>
    <w:rsid w:val="009F50E0"/>
    <w:rsid w:val="009F6A9C"/>
    <w:rsid w:val="009F6D44"/>
    <w:rsid w:val="009F6FED"/>
    <w:rsid w:val="00A00EE8"/>
    <w:rsid w:val="00A00F61"/>
    <w:rsid w:val="00A024EC"/>
    <w:rsid w:val="00A03553"/>
    <w:rsid w:val="00A04832"/>
    <w:rsid w:val="00A04EB6"/>
    <w:rsid w:val="00A06317"/>
    <w:rsid w:val="00A068DA"/>
    <w:rsid w:val="00A10AB0"/>
    <w:rsid w:val="00A11C75"/>
    <w:rsid w:val="00A127BF"/>
    <w:rsid w:val="00A12FD3"/>
    <w:rsid w:val="00A14C48"/>
    <w:rsid w:val="00A16BB8"/>
    <w:rsid w:val="00A2086E"/>
    <w:rsid w:val="00A2197E"/>
    <w:rsid w:val="00A21AEE"/>
    <w:rsid w:val="00A24314"/>
    <w:rsid w:val="00A2439E"/>
    <w:rsid w:val="00A25C23"/>
    <w:rsid w:val="00A2621F"/>
    <w:rsid w:val="00A26283"/>
    <w:rsid w:val="00A268C8"/>
    <w:rsid w:val="00A27742"/>
    <w:rsid w:val="00A3241D"/>
    <w:rsid w:val="00A337A4"/>
    <w:rsid w:val="00A33BF9"/>
    <w:rsid w:val="00A348A9"/>
    <w:rsid w:val="00A35CC1"/>
    <w:rsid w:val="00A35E2F"/>
    <w:rsid w:val="00A35FE0"/>
    <w:rsid w:val="00A364E3"/>
    <w:rsid w:val="00A364F4"/>
    <w:rsid w:val="00A371E3"/>
    <w:rsid w:val="00A373B4"/>
    <w:rsid w:val="00A40431"/>
    <w:rsid w:val="00A40848"/>
    <w:rsid w:val="00A40A60"/>
    <w:rsid w:val="00A41274"/>
    <w:rsid w:val="00A4315C"/>
    <w:rsid w:val="00A457ED"/>
    <w:rsid w:val="00A45944"/>
    <w:rsid w:val="00A46048"/>
    <w:rsid w:val="00A46C9C"/>
    <w:rsid w:val="00A473C1"/>
    <w:rsid w:val="00A474AB"/>
    <w:rsid w:val="00A50404"/>
    <w:rsid w:val="00A5060D"/>
    <w:rsid w:val="00A519AA"/>
    <w:rsid w:val="00A51F5C"/>
    <w:rsid w:val="00A536CD"/>
    <w:rsid w:val="00A546CD"/>
    <w:rsid w:val="00A60833"/>
    <w:rsid w:val="00A621AA"/>
    <w:rsid w:val="00A62858"/>
    <w:rsid w:val="00A632F1"/>
    <w:rsid w:val="00A6662D"/>
    <w:rsid w:val="00A677FB"/>
    <w:rsid w:val="00A71433"/>
    <w:rsid w:val="00A71439"/>
    <w:rsid w:val="00A720E3"/>
    <w:rsid w:val="00A7235B"/>
    <w:rsid w:val="00A7351B"/>
    <w:rsid w:val="00A7493C"/>
    <w:rsid w:val="00A7552F"/>
    <w:rsid w:val="00A759A4"/>
    <w:rsid w:val="00A76569"/>
    <w:rsid w:val="00A84BC9"/>
    <w:rsid w:val="00A85ABA"/>
    <w:rsid w:val="00A85E36"/>
    <w:rsid w:val="00A90947"/>
    <w:rsid w:val="00A90F01"/>
    <w:rsid w:val="00A924AC"/>
    <w:rsid w:val="00A94B9C"/>
    <w:rsid w:val="00A9600D"/>
    <w:rsid w:val="00A96C76"/>
    <w:rsid w:val="00A96D41"/>
    <w:rsid w:val="00A97892"/>
    <w:rsid w:val="00AA09C8"/>
    <w:rsid w:val="00AA20B9"/>
    <w:rsid w:val="00AA4361"/>
    <w:rsid w:val="00AA57B7"/>
    <w:rsid w:val="00AA6473"/>
    <w:rsid w:val="00AA7CA8"/>
    <w:rsid w:val="00AB1503"/>
    <w:rsid w:val="00AB2F58"/>
    <w:rsid w:val="00AB609B"/>
    <w:rsid w:val="00AB6727"/>
    <w:rsid w:val="00AB6E29"/>
    <w:rsid w:val="00AC0633"/>
    <w:rsid w:val="00AC06F9"/>
    <w:rsid w:val="00AC0804"/>
    <w:rsid w:val="00AC2357"/>
    <w:rsid w:val="00AC4187"/>
    <w:rsid w:val="00AC41D0"/>
    <w:rsid w:val="00AC4DE6"/>
    <w:rsid w:val="00AC5641"/>
    <w:rsid w:val="00AC6315"/>
    <w:rsid w:val="00AC66EF"/>
    <w:rsid w:val="00AC76E4"/>
    <w:rsid w:val="00AC7D91"/>
    <w:rsid w:val="00AD2B82"/>
    <w:rsid w:val="00AD6A88"/>
    <w:rsid w:val="00AE20D6"/>
    <w:rsid w:val="00AE27A3"/>
    <w:rsid w:val="00AE30E5"/>
    <w:rsid w:val="00AE3248"/>
    <w:rsid w:val="00AE41CE"/>
    <w:rsid w:val="00AE4BA8"/>
    <w:rsid w:val="00AE4F19"/>
    <w:rsid w:val="00AE5301"/>
    <w:rsid w:val="00AE74E3"/>
    <w:rsid w:val="00AE7A27"/>
    <w:rsid w:val="00AF1FE6"/>
    <w:rsid w:val="00AF25C0"/>
    <w:rsid w:val="00AF4849"/>
    <w:rsid w:val="00AF75D7"/>
    <w:rsid w:val="00B009FF"/>
    <w:rsid w:val="00B01CA7"/>
    <w:rsid w:val="00B02553"/>
    <w:rsid w:val="00B03482"/>
    <w:rsid w:val="00B03945"/>
    <w:rsid w:val="00B10640"/>
    <w:rsid w:val="00B10972"/>
    <w:rsid w:val="00B10A3E"/>
    <w:rsid w:val="00B12300"/>
    <w:rsid w:val="00B12CE0"/>
    <w:rsid w:val="00B13041"/>
    <w:rsid w:val="00B14067"/>
    <w:rsid w:val="00B14683"/>
    <w:rsid w:val="00B149AB"/>
    <w:rsid w:val="00B21027"/>
    <w:rsid w:val="00B226F4"/>
    <w:rsid w:val="00B23227"/>
    <w:rsid w:val="00B23384"/>
    <w:rsid w:val="00B24D19"/>
    <w:rsid w:val="00B2502C"/>
    <w:rsid w:val="00B25DA4"/>
    <w:rsid w:val="00B2689B"/>
    <w:rsid w:val="00B26A2F"/>
    <w:rsid w:val="00B30E0A"/>
    <w:rsid w:val="00B331DC"/>
    <w:rsid w:val="00B3422E"/>
    <w:rsid w:val="00B3761C"/>
    <w:rsid w:val="00B40B07"/>
    <w:rsid w:val="00B41611"/>
    <w:rsid w:val="00B420FE"/>
    <w:rsid w:val="00B457CB"/>
    <w:rsid w:val="00B458C9"/>
    <w:rsid w:val="00B45E1D"/>
    <w:rsid w:val="00B45F38"/>
    <w:rsid w:val="00B47BEB"/>
    <w:rsid w:val="00B50A39"/>
    <w:rsid w:val="00B51CA9"/>
    <w:rsid w:val="00B51F9A"/>
    <w:rsid w:val="00B52F9E"/>
    <w:rsid w:val="00B5789F"/>
    <w:rsid w:val="00B57B87"/>
    <w:rsid w:val="00B60ED7"/>
    <w:rsid w:val="00B61A5C"/>
    <w:rsid w:val="00B61E9C"/>
    <w:rsid w:val="00B622DC"/>
    <w:rsid w:val="00B6514A"/>
    <w:rsid w:val="00B66C21"/>
    <w:rsid w:val="00B67B05"/>
    <w:rsid w:val="00B70CFF"/>
    <w:rsid w:val="00B70E8D"/>
    <w:rsid w:val="00B722C8"/>
    <w:rsid w:val="00B7477B"/>
    <w:rsid w:val="00B75DB3"/>
    <w:rsid w:val="00B75EA9"/>
    <w:rsid w:val="00B80FA6"/>
    <w:rsid w:val="00B8123E"/>
    <w:rsid w:val="00B82211"/>
    <w:rsid w:val="00B827B9"/>
    <w:rsid w:val="00B85A3B"/>
    <w:rsid w:val="00B90852"/>
    <w:rsid w:val="00B91866"/>
    <w:rsid w:val="00B9239C"/>
    <w:rsid w:val="00B9381F"/>
    <w:rsid w:val="00B93E9E"/>
    <w:rsid w:val="00B9519F"/>
    <w:rsid w:val="00B96315"/>
    <w:rsid w:val="00B964B6"/>
    <w:rsid w:val="00B969C7"/>
    <w:rsid w:val="00BA02C3"/>
    <w:rsid w:val="00BA0644"/>
    <w:rsid w:val="00BA108A"/>
    <w:rsid w:val="00BA1BE2"/>
    <w:rsid w:val="00BA32F8"/>
    <w:rsid w:val="00BA3D34"/>
    <w:rsid w:val="00BA5788"/>
    <w:rsid w:val="00BA5852"/>
    <w:rsid w:val="00BA5FF2"/>
    <w:rsid w:val="00BA6716"/>
    <w:rsid w:val="00BA6BC3"/>
    <w:rsid w:val="00BB05E0"/>
    <w:rsid w:val="00BB0CB0"/>
    <w:rsid w:val="00BB205A"/>
    <w:rsid w:val="00BB2A97"/>
    <w:rsid w:val="00BB4007"/>
    <w:rsid w:val="00BB4125"/>
    <w:rsid w:val="00BB57FB"/>
    <w:rsid w:val="00BC0245"/>
    <w:rsid w:val="00BC0DDE"/>
    <w:rsid w:val="00BC19D0"/>
    <w:rsid w:val="00BC2514"/>
    <w:rsid w:val="00BC2772"/>
    <w:rsid w:val="00BC39F0"/>
    <w:rsid w:val="00BC4789"/>
    <w:rsid w:val="00BC50E4"/>
    <w:rsid w:val="00BC54B0"/>
    <w:rsid w:val="00BC5FE3"/>
    <w:rsid w:val="00BC60E4"/>
    <w:rsid w:val="00BD3C50"/>
    <w:rsid w:val="00BD7F14"/>
    <w:rsid w:val="00BE4CA2"/>
    <w:rsid w:val="00BE57E2"/>
    <w:rsid w:val="00BE5985"/>
    <w:rsid w:val="00BE626C"/>
    <w:rsid w:val="00BE6731"/>
    <w:rsid w:val="00BE716E"/>
    <w:rsid w:val="00BF16F0"/>
    <w:rsid w:val="00BF1FB4"/>
    <w:rsid w:val="00BF1FCA"/>
    <w:rsid w:val="00BF24B8"/>
    <w:rsid w:val="00BF2ACA"/>
    <w:rsid w:val="00BF4C84"/>
    <w:rsid w:val="00BF4C9E"/>
    <w:rsid w:val="00BF52B5"/>
    <w:rsid w:val="00BF592D"/>
    <w:rsid w:val="00BF6BF3"/>
    <w:rsid w:val="00BF7287"/>
    <w:rsid w:val="00C007BA"/>
    <w:rsid w:val="00C00C82"/>
    <w:rsid w:val="00C02306"/>
    <w:rsid w:val="00C02A90"/>
    <w:rsid w:val="00C043C2"/>
    <w:rsid w:val="00C0453F"/>
    <w:rsid w:val="00C04CA3"/>
    <w:rsid w:val="00C05B36"/>
    <w:rsid w:val="00C07D1A"/>
    <w:rsid w:val="00C10462"/>
    <w:rsid w:val="00C1290C"/>
    <w:rsid w:val="00C12D10"/>
    <w:rsid w:val="00C133C3"/>
    <w:rsid w:val="00C13C21"/>
    <w:rsid w:val="00C13C80"/>
    <w:rsid w:val="00C13FD2"/>
    <w:rsid w:val="00C14FEA"/>
    <w:rsid w:val="00C150ED"/>
    <w:rsid w:val="00C15423"/>
    <w:rsid w:val="00C1581D"/>
    <w:rsid w:val="00C2095A"/>
    <w:rsid w:val="00C22C84"/>
    <w:rsid w:val="00C23456"/>
    <w:rsid w:val="00C26246"/>
    <w:rsid w:val="00C269FB"/>
    <w:rsid w:val="00C274FC"/>
    <w:rsid w:val="00C30A54"/>
    <w:rsid w:val="00C31D69"/>
    <w:rsid w:val="00C321FB"/>
    <w:rsid w:val="00C32C7D"/>
    <w:rsid w:val="00C33E6D"/>
    <w:rsid w:val="00C35729"/>
    <w:rsid w:val="00C3582A"/>
    <w:rsid w:val="00C359E1"/>
    <w:rsid w:val="00C3712A"/>
    <w:rsid w:val="00C37BCA"/>
    <w:rsid w:val="00C41319"/>
    <w:rsid w:val="00C4176F"/>
    <w:rsid w:val="00C42424"/>
    <w:rsid w:val="00C42963"/>
    <w:rsid w:val="00C43727"/>
    <w:rsid w:val="00C44D55"/>
    <w:rsid w:val="00C459F1"/>
    <w:rsid w:val="00C46122"/>
    <w:rsid w:val="00C46D68"/>
    <w:rsid w:val="00C4768F"/>
    <w:rsid w:val="00C479C3"/>
    <w:rsid w:val="00C50231"/>
    <w:rsid w:val="00C513C1"/>
    <w:rsid w:val="00C529E8"/>
    <w:rsid w:val="00C52FB5"/>
    <w:rsid w:val="00C5303C"/>
    <w:rsid w:val="00C542AC"/>
    <w:rsid w:val="00C545D2"/>
    <w:rsid w:val="00C55314"/>
    <w:rsid w:val="00C55561"/>
    <w:rsid w:val="00C578AA"/>
    <w:rsid w:val="00C57AE4"/>
    <w:rsid w:val="00C605A2"/>
    <w:rsid w:val="00C609F1"/>
    <w:rsid w:val="00C60AA9"/>
    <w:rsid w:val="00C61A5E"/>
    <w:rsid w:val="00C62F7C"/>
    <w:rsid w:val="00C637B6"/>
    <w:rsid w:val="00C64DC5"/>
    <w:rsid w:val="00C65F7D"/>
    <w:rsid w:val="00C66753"/>
    <w:rsid w:val="00C67871"/>
    <w:rsid w:val="00C710A5"/>
    <w:rsid w:val="00C7318C"/>
    <w:rsid w:val="00C7469C"/>
    <w:rsid w:val="00C747B2"/>
    <w:rsid w:val="00C779C2"/>
    <w:rsid w:val="00C8206A"/>
    <w:rsid w:val="00C82EE3"/>
    <w:rsid w:val="00C844CA"/>
    <w:rsid w:val="00C84766"/>
    <w:rsid w:val="00C854C2"/>
    <w:rsid w:val="00C8733F"/>
    <w:rsid w:val="00C906F8"/>
    <w:rsid w:val="00C92710"/>
    <w:rsid w:val="00C9292B"/>
    <w:rsid w:val="00C931F0"/>
    <w:rsid w:val="00C93A26"/>
    <w:rsid w:val="00C9468C"/>
    <w:rsid w:val="00C95AAC"/>
    <w:rsid w:val="00CA2FA3"/>
    <w:rsid w:val="00CA3417"/>
    <w:rsid w:val="00CA40D9"/>
    <w:rsid w:val="00CA42E1"/>
    <w:rsid w:val="00CA509D"/>
    <w:rsid w:val="00CA56CB"/>
    <w:rsid w:val="00CA5A12"/>
    <w:rsid w:val="00CA6052"/>
    <w:rsid w:val="00CA67C5"/>
    <w:rsid w:val="00CB1228"/>
    <w:rsid w:val="00CB12A5"/>
    <w:rsid w:val="00CB1AD8"/>
    <w:rsid w:val="00CB228C"/>
    <w:rsid w:val="00CB2D06"/>
    <w:rsid w:val="00CB4C3A"/>
    <w:rsid w:val="00CB564C"/>
    <w:rsid w:val="00CC0993"/>
    <w:rsid w:val="00CC1191"/>
    <w:rsid w:val="00CC1667"/>
    <w:rsid w:val="00CC174F"/>
    <w:rsid w:val="00CC2691"/>
    <w:rsid w:val="00CC27A2"/>
    <w:rsid w:val="00CC3964"/>
    <w:rsid w:val="00CC65BD"/>
    <w:rsid w:val="00CD0B62"/>
    <w:rsid w:val="00CD1391"/>
    <w:rsid w:val="00CD161D"/>
    <w:rsid w:val="00CD27D0"/>
    <w:rsid w:val="00CD5EA0"/>
    <w:rsid w:val="00CD6D9A"/>
    <w:rsid w:val="00CD745A"/>
    <w:rsid w:val="00CE1935"/>
    <w:rsid w:val="00CE20D6"/>
    <w:rsid w:val="00CE236D"/>
    <w:rsid w:val="00CE5BA5"/>
    <w:rsid w:val="00CE5DDE"/>
    <w:rsid w:val="00CE5E23"/>
    <w:rsid w:val="00CE6226"/>
    <w:rsid w:val="00CE7E03"/>
    <w:rsid w:val="00CE7FA7"/>
    <w:rsid w:val="00CF090D"/>
    <w:rsid w:val="00CF0BCE"/>
    <w:rsid w:val="00CF0CC2"/>
    <w:rsid w:val="00CF16C4"/>
    <w:rsid w:val="00CF2B35"/>
    <w:rsid w:val="00CF3D8D"/>
    <w:rsid w:val="00CF53A4"/>
    <w:rsid w:val="00CF585C"/>
    <w:rsid w:val="00CF5EEB"/>
    <w:rsid w:val="00CF6700"/>
    <w:rsid w:val="00CF673C"/>
    <w:rsid w:val="00CF6B18"/>
    <w:rsid w:val="00CF6FD1"/>
    <w:rsid w:val="00CF7DB2"/>
    <w:rsid w:val="00D00255"/>
    <w:rsid w:val="00D03DA4"/>
    <w:rsid w:val="00D0582A"/>
    <w:rsid w:val="00D05969"/>
    <w:rsid w:val="00D10094"/>
    <w:rsid w:val="00D103BA"/>
    <w:rsid w:val="00D105CC"/>
    <w:rsid w:val="00D11063"/>
    <w:rsid w:val="00D1319B"/>
    <w:rsid w:val="00D13C96"/>
    <w:rsid w:val="00D150BC"/>
    <w:rsid w:val="00D1587B"/>
    <w:rsid w:val="00D15CC6"/>
    <w:rsid w:val="00D1705A"/>
    <w:rsid w:val="00D178A5"/>
    <w:rsid w:val="00D20867"/>
    <w:rsid w:val="00D20B2E"/>
    <w:rsid w:val="00D20C3E"/>
    <w:rsid w:val="00D210DC"/>
    <w:rsid w:val="00D21DC3"/>
    <w:rsid w:val="00D24508"/>
    <w:rsid w:val="00D24F8E"/>
    <w:rsid w:val="00D25419"/>
    <w:rsid w:val="00D31D5E"/>
    <w:rsid w:val="00D32CB6"/>
    <w:rsid w:val="00D339C8"/>
    <w:rsid w:val="00D3560F"/>
    <w:rsid w:val="00D37827"/>
    <w:rsid w:val="00D378B4"/>
    <w:rsid w:val="00D379C0"/>
    <w:rsid w:val="00D41D2A"/>
    <w:rsid w:val="00D43122"/>
    <w:rsid w:val="00D47D8C"/>
    <w:rsid w:val="00D50481"/>
    <w:rsid w:val="00D50ED2"/>
    <w:rsid w:val="00D51972"/>
    <w:rsid w:val="00D51BA2"/>
    <w:rsid w:val="00D51D3E"/>
    <w:rsid w:val="00D53680"/>
    <w:rsid w:val="00D54E30"/>
    <w:rsid w:val="00D5539F"/>
    <w:rsid w:val="00D55D7D"/>
    <w:rsid w:val="00D568BC"/>
    <w:rsid w:val="00D579E9"/>
    <w:rsid w:val="00D61084"/>
    <w:rsid w:val="00D62B1E"/>
    <w:rsid w:val="00D646D9"/>
    <w:rsid w:val="00D65B9B"/>
    <w:rsid w:val="00D66EA4"/>
    <w:rsid w:val="00D66EAE"/>
    <w:rsid w:val="00D70E5A"/>
    <w:rsid w:val="00D72D3D"/>
    <w:rsid w:val="00D74646"/>
    <w:rsid w:val="00D74D40"/>
    <w:rsid w:val="00D75024"/>
    <w:rsid w:val="00D813CF"/>
    <w:rsid w:val="00D81FC7"/>
    <w:rsid w:val="00D85755"/>
    <w:rsid w:val="00D857AE"/>
    <w:rsid w:val="00D858F2"/>
    <w:rsid w:val="00D87EC3"/>
    <w:rsid w:val="00D92188"/>
    <w:rsid w:val="00D92BA2"/>
    <w:rsid w:val="00D93180"/>
    <w:rsid w:val="00DA0538"/>
    <w:rsid w:val="00DA14E3"/>
    <w:rsid w:val="00DA1AFE"/>
    <w:rsid w:val="00DA1F07"/>
    <w:rsid w:val="00DA26E6"/>
    <w:rsid w:val="00DA2D1E"/>
    <w:rsid w:val="00DA433B"/>
    <w:rsid w:val="00DA6483"/>
    <w:rsid w:val="00DA7E02"/>
    <w:rsid w:val="00DA7F63"/>
    <w:rsid w:val="00DB04C3"/>
    <w:rsid w:val="00DB1E29"/>
    <w:rsid w:val="00DB2778"/>
    <w:rsid w:val="00DB2A70"/>
    <w:rsid w:val="00DB6593"/>
    <w:rsid w:val="00DB6711"/>
    <w:rsid w:val="00DB78C8"/>
    <w:rsid w:val="00DC08D7"/>
    <w:rsid w:val="00DC0D9D"/>
    <w:rsid w:val="00DC0FE2"/>
    <w:rsid w:val="00DC195C"/>
    <w:rsid w:val="00DC3E3B"/>
    <w:rsid w:val="00DC5A49"/>
    <w:rsid w:val="00DC5F09"/>
    <w:rsid w:val="00DC72F3"/>
    <w:rsid w:val="00DC7EB7"/>
    <w:rsid w:val="00DD26D2"/>
    <w:rsid w:val="00DD4104"/>
    <w:rsid w:val="00DD514D"/>
    <w:rsid w:val="00DD6271"/>
    <w:rsid w:val="00DD68CD"/>
    <w:rsid w:val="00DD73D6"/>
    <w:rsid w:val="00DD7772"/>
    <w:rsid w:val="00DE311B"/>
    <w:rsid w:val="00DE3917"/>
    <w:rsid w:val="00DE4AAE"/>
    <w:rsid w:val="00DE763E"/>
    <w:rsid w:val="00DE7770"/>
    <w:rsid w:val="00DE77AE"/>
    <w:rsid w:val="00DF2E02"/>
    <w:rsid w:val="00DF3DA0"/>
    <w:rsid w:val="00DF5BAA"/>
    <w:rsid w:val="00E015B9"/>
    <w:rsid w:val="00E02A60"/>
    <w:rsid w:val="00E03F34"/>
    <w:rsid w:val="00E05BEA"/>
    <w:rsid w:val="00E103AE"/>
    <w:rsid w:val="00E11376"/>
    <w:rsid w:val="00E11978"/>
    <w:rsid w:val="00E13505"/>
    <w:rsid w:val="00E16B9F"/>
    <w:rsid w:val="00E16C57"/>
    <w:rsid w:val="00E171BB"/>
    <w:rsid w:val="00E17862"/>
    <w:rsid w:val="00E22945"/>
    <w:rsid w:val="00E22B6C"/>
    <w:rsid w:val="00E22C5D"/>
    <w:rsid w:val="00E2349B"/>
    <w:rsid w:val="00E23C99"/>
    <w:rsid w:val="00E24090"/>
    <w:rsid w:val="00E248B0"/>
    <w:rsid w:val="00E25EBA"/>
    <w:rsid w:val="00E2608A"/>
    <w:rsid w:val="00E2778B"/>
    <w:rsid w:val="00E27A02"/>
    <w:rsid w:val="00E30512"/>
    <w:rsid w:val="00E30F38"/>
    <w:rsid w:val="00E31704"/>
    <w:rsid w:val="00E31B37"/>
    <w:rsid w:val="00E31FC4"/>
    <w:rsid w:val="00E33B55"/>
    <w:rsid w:val="00E3516D"/>
    <w:rsid w:val="00E35BAB"/>
    <w:rsid w:val="00E36B20"/>
    <w:rsid w:val="00E36D56"/>
    <w:rsid w:val="00E36DBF"/>
    <w:rsid w:val="00E37A11"/>
    <w:rsid w:val="00E41915"/>
    <w:rsid w:val="00E41D31"/>
    <w:rsid w:val="00E43910"/>
    <w:rsid w:val="00E4556E"/>
    <w:rsid w:val="00E50188"/>
    <w:rsid w:val="00E5545E"/>
    <w:rsid w:val="00E55D62"/>
    <w:rsid w:val="00E562D7"/>
    <w:rsid w:val="00E57AC5"/>
    <w:rsid w:val="00E60B37"/>
    <w:rsid w:val="00E62C67"/>
    <w:rsid w:val="00E63074"/>
    <w:rsid w:val="00E64C6D"/>
    <w:rsid w:val="00E6578E"/>
    <w:rsid w:val="00E65C27"/>
    <w:rsid w:val="00E70307"/>
    <w:rsid w:val="00E7078D"/>
    <w:rsid w:val="00E709A7"/>
    <w:rsid w:val="00E71C59"/>
    <w:rsid w:val="00E7230D"/>
    <w:rsid w:val="00E727D7"/>
    <w:rsid w:val="00E74F1E"/>
    <w:rsid w:val="00E7560F"/>
    <w:rsid w:val="00E761C2"/>
    <w:rsid w:val="00E766E9"/>
    <w:rsid w:val="00E7693D"/>
    <w:rsid w:val="00E77F85"/>
    <w:rsid w:val="00E81300"/>
    <w:rsid w:val="00E82014"/>
    <w:rsid w:val="00E84A76"/>
    <w:rsid w:val="00E8659E"/>
    <w:rsid w:val="00E90E64"/>
    <w:rsid w:val="00E91640"/>
    <w:rsid w:val="00E932A0"/>
    <w:rsid w:val="00E943DE"/>
    <w:rsid w:val="00E94C18"/>
    <w:rsid w:val="00E94E8F"/>
    <w:rsid w:val="00E950AD"/>
    <w:rsid w:val="00E95A27"/>
    <w:rsid w:val="00E96C17"/>
    <w:rsid w:val="00E975A6"/>
    <w:rsid w:val="00E9798D"/>
    <w:rsid w:val="00EA09A6"/>
    <w:rsid w:val="00EA126B"/>
    <w:rsid w:val="00EA2CC9"/>
    <w:rsid w:val="00EA3D89"/>
    <w:rsid w:val="00EA410A"/>
    <w:rsid w:val="00EA41D0"/>
    <w:rsid w:val="00EB0407"/>
    <w:rsid w:val="00EB1448"/>
    <w:rsid w:val="00EB1C51"/>
    <w:rsid w:val="00EB1E2E"/>
    <w:rsid w:val="00EB253A"/>
    <w:rsid w:val="00EB4B13"/>
    <w:rsid w:val="00EB4C38"/>
    <w:rsid w:val="00EB6213"/>
    <w:rsid w:val="00EB725C"/>
    <w:rsid w:val="00EC0394"/>
    <w:rsid w:val="00EC2B3F"/>
    <w:rsid w:val="00EC2BA2"/>
    <w:rsid w:val="00EC5E4F"/>
    <w:rsid w:val="00EC69C7"/>
    <w:rsid w:val="00EC7A28"/>
    <w:rsid w:val="00ED029A"/>
    <w:rsid w:val="00ED132F"/>
    <w:rsid w:val="00ED196B"/>
    <w:rsid w:val="00ED2FB1"/>
    <w:rsid w:val="00ED4D3A"/>
    <w:rsid w:val="00ED5E00"/>
    <w:rsid w:val="00ED6936"/>
    <w:rsid w:val="00ED7282"/>
    <w:rsid w:val="00ED7E15"/>
    <w:rsid w:val="00EE26C9"/>
    <w:rsid w:val="00EE2C5D"/>
    <w:rsid w:val="00EE3D09"/>
    <w:rsid w:val="00EE6357"/>
    <w:rsid w:val="00EE6755"/>
    <w:rsid w:val="00EE6E3F"/>
    <w:rsid w:val="00EE742E"/>
    <w:rsid w:val="00EF08BD"/>
    <w:rsid w:val="00EF112F"/>
    <w:rsid w:val="00EF3AF0"/>
    <w:rsid w:val="00EF4951"/>
    <w:rsid w:val="00EF579D"/>
    <w:rsid w:val="00EF5856"/>
    <w:rsid w:val="00EF609E"/>
    <w:rsid w:val="00EF7329"/>
    <w:rsid w:val="00EF7AE3"/>
    <w:rsid w:val="00EF7D22"/>
    <w:rsid w:val="00F00493"/>
    <w:rsid w:val="00F016E2"/>
    <w:rsid w:val="00F01B8C"/>
    <w:rsid w:val="00F025DB"/>
    <w:rsid w:val="00F03669"/>
    <w:rsid w:val="00F10887"/>
    <w:rsid w:val="00F12A09"/>
    <w:rsid w:val="00F12CB1"/>
    <w:rsid w:val="00F12F0F"/>
    <w:rsid w:val="00F136E2"/>
    <w:rsid w:val="00F138E1"/>
    <w:rsid w:val="00F14653"/>
    <w:rsid w:val="00F14700"/>
    <w:rsid w:val="00F14F9E"/>
    <w:rsid w:val="00F163E8"/>
    <w:rsid w:val="00F16CF5"/>
    <w:rsid w:val="00F175A2"/>
    <w:rsid w:val="00F179A5"/>
    <w:rsid w:val="00F202C8"/>
    <w:rsid w:val="00F2061F"/>
    <w:rsid w:val="00F226A8"/>
    <w:rsid w:val="00F22EE5"/>
    <w:rsid w:val="00F24B75"/>
    <w:rsid w:val="00F27A16"/>
    <w:rsid w:val="00F27A2C"/>
    <w:rsid w:val="00F31237"/>
    <w:rsid w:val="00F31421"/>
    <w:rsid w:val="00F33779"/>
    <w:rsid w:val="00F3394A"/>
    <w:rsid w:val="00F37359"/>
    <w:rsid w:val="00F377F7"/>
    <w:rsid w:val="00F37875"/>
    <w:rsid w:val="00F41F20"/>
    <w:rsid w:val="00F43555"/>
    <w:rsid w:val="00F43C8F"/>
    <w:rsid w:val="00F46235"/>
    <w:rsid w:val="00F462E4"/>
    <w:rsid w:val="00F503D8"/>
    <w:rsid w:val="00F51E36"/>
    <w:rsid w:val="00F53564"/>
    <w:rsid w:val="00F53653"/>
    <w:rsid w:val="00F542D2"/>
    <w:rsid w:val="00F56839"/>
    <w:rsid w:val="00F61AB8"/>
    <w:rsid w:val="00F61D77"/>
    <w:rsid w:val="00F624B9"/>
    <w:rsid w:val="00F626DB"/>
    <w:rsid w:val="00F640E6"/>
    <w:rsid w:val="00F64220"/>
    <w:rsid w:val="00F645CD"/>
    <w:rsid w:val="00F67754"/>
    <w:rsid w:val="00F70089"/>
    <w:rsid w:val="00F70476"/>
    <w:rsid w:val="00F7252B"/>
    <w:rsid w:val="00F72B56"/>
    <w:rsid w:val="00F72E13"/>
    <w:rsid w:val="00F7379A"/>
    <w:rsid w:val="00F749A5"/>
    <w:rsid w:val="00F75252"/>
    <w:rsid w:val="00F75F8A"/>
    <w:rsid w:val="00F7767C"/>
    <w:rsid w:val="00F77C3E"/>
    <w:rsid w:val="00F800F5"/>
    <w:rsid w:val="00F82948"/>
    <w:rsid w:val="00F83DB5"/>
    <w:rsid w:val="00F83F6C"/>
    <w:rsid w:val="00F847C9"/>
    <w:rsid w:val="00F849BC"/>
    <w:rsid w:val="00F85A2D"/>
    <w:rsid w:val="00F879C1"/>
    <w:rsid w:val="00F905A3"/>
    <w:rsid w:val="00F90D44"/>
    <w:rsid w:val="00F9134B"/>
    <w:rsid w:val="00F92B16"/>
    <w:rsid w:val="00F92BF1"/>
    <w:rsid w:val="00F967B0"/>
    <w:rsid w:val="00F97A75"/>
    <w:rsid w:val="00FA28D0"/>
    <w:rsid w:val="00FA36C4"/>
    <w:rsid w:val="00FA6065"/>
    <w:rsid w:val="00FA79A2"/>
    <w:rsid w:val="00FB0090"/>
    <w:rsid w:val="00FB0B52"/>
    <w:rsid w:val="00FB2BE1"/>
    <w:rsid w:val="00FB3986"/>
    <w:rsid w:val="00FB6814"/>
    <w:rsid w:val="00FC0B34"/>
    <w:rsid w:val="00FC2A57"/>
    <w:rsid w:val="00FC2B8E"/>
    <w:rsid w:val="00FC3973"/>
    <w:rsid w:val="00FC46C3"/>
    <w:rsid w:val="00FC616A"/>
    <w:rsid w:val="00FC68C0"/>
    <w:rsid w:val="00FC6F54"/>
    <w:rsid w:val="00FC7F6D"/>
    <w:rsid w:val="00FD10AC"/>
    <w:rsid w:val="00FD16E5"/>
    <w:rsid w:val="00FD2376"/>
    <w:rsid w:val="00FD249E"/>
    <w:rsid w:val="00FD24E3"/>
    <w:rsid w:val="00FD2873"/>
    <w:rsid w:val="00FD37D5"/>
    <w:rsid w:val="00FD3A97"/>
    <w:rsid w:val="00FD3B35"/>
    <w:rsid w:val="00FD4CE3"/>
    <w:rsid w:val="00FD5853"/>
    <w:rsid w:val="00FD6305"/>
    <w:rsid w:val="00FD6C3C"/>
    <w:rsid w:val="00FD6E1E"/>
    <w:rsid w:val="00FD70B6"/>
    <w:rsid w:val="00FD7EA4"/>
    <w:rsid w:val="00FE1D22"/>
    <w:rsid w:val="00FE2141"/>
    <w:rsid w:val="00FE32B0"/>
    <w:rsid w:val="00FE3F13"/>
    <w:rsid w:val="00FE40A1"/>
    <w:rsid w:val="00FE4327"/>
    <w:rsid w:val="00FE5A81"/>
    <w:rsid w:val="00FE655B"/>
    <w:rsid w:val="00FE70ED"/>
    <w:rsid w:val="00FE7731"/>
    <w:rsid w:val="00FF0407"/>
    <w:rsid w:val="00FF098F"/>
    <w:rsid w:val="00FF16E6"/>
    <w:rsid w:val="00FF3B34"/>
    <w:rsid w:val="00FF4479"/>
    <w:rsid w:val="00FF452A"/>
    <w:rsid w:val="00FF6520"/>
    <w:rsid w:val="00FF7F82"/>
    <w:rsid w:val="014A0A22"/>
    <w:rsid w:val="01898717"/>
    <w:rsid w:val="02664B9C"/>
    <w:rsid w:val="026A72CA"/>
    <w:rsid w:val="026A8066"/>
    <w:rsid w:val="02885AA1"/>
    <w:rsid w:val="02A1F412"/>
    <w:rsid w:val="02D09940"/>
    <w:rsid w:val="03408073"/>
    <w:rsid w:val="0394FB1A"/>
    <w:rsid w:val="03E414C3"/>
    <w:rsid w:val="041F5C99"/>
    <w:rsid w:val="04807577"/>
    <w:rsid w:val="053F9318"/>
    <w:rsid w:val="0589E370"/>
    <w:rsid w:val="05FB9E3F"/>
    <w:rsid w:val="0620BCDD"/>
    <w:rsid w:val="062E1F32"/>
    <w:rsid w:val="062EDBBB"/>
    <w:rsid w:val="06B017E6"/>
    <w:rsid w:val="06D89EA6"/>
    <w:rsid w:val="06DB2790"/>
    <w:rsid w:val="07BFCBF3"/>
    <w:rsid w:val="085DE419"/>
    <w:rsid w:val="088F2534"/>
    <w:rsid w:val="089AC96A"/>
    <w:rsid w:val="08FF21E5"/>
    <w:rsid w:val="09620598"/>
    <w:rsid w:val="09662B8F"/>
    <w:rsid w:val="09B5E96A"/>
    <w:rsid w:val="09C419EE"/>
    <w:rsid w:val="0AD146D9"/>
    <w:rsid w:val="0B33B741"/>
    <w:rsid w:val="0B9A44BA"/>
    <w:rsid w:val="0BC7ACC0"/>
    <w:rsid w:val="0C202A1B"/>
    <w:rsid w:val="0D4C62BA"/>
    <w:rsid w:val="0D72AEB5"/>
    <w:rsid w:val="0D92C848"/>
    <w:rsid w:val="0E561EE2"/>
    <w:rsid w:val="0E77A640"/>
    <w:rsid w:val="0E79F7EF"/>
    <w:rsid w:val="0EC06B91"/>
    <w:rsid w:val="0EFE96DF"/>
    <w:rsid w:val="0F551FE2"/>
    <w:rsid w:val="0FEC0ECB"/>
    <w:rsid w:val="0FF64AE3"/>
    <w:rsid w:val="107F1A77"/>
    <w:rsid w:val="10F25C3B"/>
    <w:rsid w:val="11010843"/>
    <w:rsid w:val="1140990F"/>
    <w:rsid w:val="11A74AD8"/>
    <w:rsid w:val="121FB875"/>
    <w:rsid w:val="12A80253"/>
    <w:rsid w:val="12B20B0C"/>
    <w:rsid w:val="13B2CC36"/>
    <w:rsid w:val="13DCAA14"/>
    <w:rsid w:val="1484A096"/>
    <w:rsid w:val="1485E1B6"/>
    <w:rsid w:val="14C3FE69"/>
    <w:rsid w:val="14E08716"/>
    <w:rsid w:val="15DAB72F"/>
    <w:rsid w:val="15DC7736"/>
    <w:rsid w:val="166347B3"/>
    <w:rsid w:val="16AB64F5"/>
    <w:rsid w:val="16CDC6DF"/>
    <w:rsid w:val="173A9A1E"/>
    <w:rsid w:val="173C510D"/>
    <w:rsid w:val="1756C12F"/>
    <w:rsid w:val="176CE7E0"/>
    <w:rsid w:val="1788E621"/>
    <w:rsid w:val="178E3CCF"/>
    <w:rsid w:val="17A7DE9C"/>
    <w:rsid w:val="17D0D2B0"/>
    <w:rsid w:val="183551BF"/>
    <w:rsid w:val="18513F60"/>
    <w:rsid w:val="1858A27E"/>
    <w:rsid w:val="18A282D0"/>
    <w:rsid w:val="18AAD78D"/>
    <w:rsid w:val="19197049"/>
    <w:rsid w:val="198D7E3F"/>
    <w:rsid w:val="19A10F1A"/>
    <w:rsid w:val="1A3819CE"/>
    <w:rsid w:val="1A431BB1"/>
    <w:rsid w:val="1A62F665"/>
    <w:rsid w:val="1A7AF640"/>
    <w:rsid w:val="1AE6FDAA"/>
    <w:rsid w:val="1BBCAF13"/>
    <w:rsid w:val="1BE33FF4"/>
    <w:rsid w:val="1BFABC16"/>
    <w:rsid w:val="1C03FCE1"/>
    <w:rsid w:val="1C652AD3"/>
    <w:rsid w:val="1CB8FBED"/>
    <w:rsid w:val="1CF46254"/>
    <w:rsid w:val="1DD6F040"/>
    <w:rsid w:val="1DFA675A"/>
    <w:rsid w:val="1E424448"/>
    <w:rsid w:val="1F0A82B1"/>
    <w:rsid w:val="1F251851"/>
    <w:rsid w:val="1F3107B2"/>
    <w:rsid w:val="1F4E7EBA"/>
    <w:rsid w:val="1F5A1D40"/>
    <w:rsid w:val="20A787FB"/>
    <w:rsid w:val="20ACB94F"/>
    <w:rsid w:val="20CF8BE5"/>
    <w:rsid w:val="20E5435D"/>
    <w:rsid w:val="21258217"/>
    <w:rsid w:val="212BF3FB"/>
    <w:rsid w:val="21310B91"/>
    <w:rsid w:val="21378188"/>
    <w:rsid w:val="21467474"/>
    <w:rsid w:val="21BD028B"/>
    <w:rsid w:val="21D3071D"/>
    <w:rsid w:val="21F23B36"/>
    <w:rsid w:val="2293575E"/>
    <w:rsid w:val="22E48556"/>
    <w:rsid w:val="232D2533"/>
    <w:rsid w:val="24066566"/>
    <w:rsid w:val="242D7429"/>
    <w:rsid w:val="24651289"/>
    <w:rsid w:val="246E8A3B"/>
    <w:rsid w:val="24F61B96"/>
    <w:rsid w:val="25AD43A4"/>
    <w:rsid w:val="25D8EA43"/>
    <w:rsid w:val="2622C5E2"/>
    <w:rsid w:val="26281549"/>
    <w:rsid w:val="264EE2A4"/>
    <w:rsid w:val="268D5C86"/>
    <w:rsid w:val="26CE5683"/>
    <w:rsid w:val="26E0C0FA"/>
    <w:rsid w:val="2777856C"/>
    <w:rsid w:val="27875A89"/>
    <w:rsid w:val="278E9916"/>
    <w:rsid w:val="28177B7F"/>
    <w:rsid w:val="282D4240"/>
    <w:rsid w:val="283137B6"/>
    <w:rsid w:val="28508F9E"/>
    <w:rsid w:val="2868DFE1"/>
    <w:rsid w:val="286B06CE"/>
    <w:rsid w:val="2872069C"/>
    <w:rsid w:val="28CAAD06"/>
    <w:rsid w:val="292758A3"/>
    <w:rsid w:val="29442B1C"/>
    <w:rsid w:val="299B246A"/>
    <w:rsid w:val="2A426A04"/>
    <w:rsid w:val="2A4C5E09"/>
    <w:rsid w:val="2A5E246F"/>
    <w:rsid w:val="2A8DB72D"/>
    <w:rsid w:val="2A922DE6"/>
    <w:rsid w:val="2AA50F98"/>
    <w:rsid w:val="2ADC1018"/>
    <w:rsid w:val="2B6722C0"/>
    <w:rsid w:val="2B715A31"/>
    <w:rsid w:val="2BA78149"/>
    <w:rsid w:val="2C14297C"/>
    <w:rsid w:val="2CDDA751"/>
    <w:rsid w:val="2CE01EDE"/>
    <w:rsid w:val="2D162083"/>
    <w:rsid w:val="2D17F6E1"/>
    <w:rsid w:val="2D381520"/>
    <w:rsid w:val="2D4F28DD"/>
    <w:rsid w:val="2DBC8B59"/>
    <w:rsid w:val="2DBF7F9C"/>
    <w:rsid w:val="2DCA1116"/>
    <w:rsid w:val="2E01C616"/>
    <w:rsid w:val="2E067422"/>
    <w:rsid w:val="2E425E27"/>
    <w:rsid w:val="2E6E6278"/>
    <w:rsid w:val="2EA5A93F"/>
    <w:rsid w:val="2EE8185C"/>
    <w:rsid w:val="2F4DE3F1"/>
    <w:rsid w:val="2FBA6CF2"/>
    <w:rsid w:val="302AF29F"/>
    <w:rsid w:val="30890543"/>
    <w:rsid w:val="30EAA02F"/>
    <w:rsid w:val="311C7A61"/>
    <w:rsid w:val="311EDD1E"/>
    <w:rsid w:val="31361869"/>
    <w:rsid w:val="318099EC"/>
    <w:rsid w:val="3195A4C1"/>
    <w:rsid w:val="32025BC0"/>
    <w:rsid w:val="32587C9A"/>
    <w:rsid w:val="326141A0"/>
    <w:rsid w:val="32F7AF74"/>
    <w:rsid w:val="331DCA8A"/>
    <w:rsid w:val="333C8AD1"/>
    <w:rsid w:val="334255FB"/>
    <w:rsid w:val="33586BFF"/>
    <w:rsid w:val="3376031C"/>
    <w:rsid w:val="3379E3A6"/>
    <w:rsid w:val="344B0AEF"/>
    <w:rsid w:val="34761A63"/>
    <w:rsid w:val="3477236F"/>
    <w:rsid w:val="34E6FB55"/>
    <w:rsid w:val="34ED9B67"/>
    <w:rsid w:val="350AA89D"/>
    <w:rsid w:val="358E7C59"/>
    <w:rsid w:val="35EFAB25"/>
    <w:rsid w:val="3637F390"/>
    <w:rsid w:val="36A795FA"/>
    <w:rsid w:val="36B15956"/>
    <w:rsid w:val="36D0B83F"/>
    <w:rsid w:val="36E0978F"/>
    <w:rsid w:val="3766B524"/>
    <w:rsid w:val="376E9AF2"/>
    <w:rsid w:val="37D30604"/>
    <w:rsid w:val="38079CA0"/>
    <w:rsid w:val="381EE6EC"/>
    <w:rsid w:val="382FD613"/>
    <w:rsid w:val="386F5F1D"/>
    <w:rsid w:val="39A41858"/>
    <w:rsid w:val="39BBB223"/>
    <w:rsid w:val="39C0810D"/>
    <w:rsid w:val="3A32B3CB"/>
    <w:rsid w:val="3A7547CF"/>
    <w:rsid w:val="3A96DEC1"/>
    <w:rsid w:val="3AD97D41"/>
    <w:rsid w:val="3AEE9C21"/>
    <w:rsid w:val="3B112DB0"/>
    <w:rsid w:val="3B2E5849"/>
    <w:rsid w:val="3BFECE7A"/>
    <w:rsid w:val="3C395206"/>
    <w:rsid w:val="3C535A47"/>
    <w:rsid w:val="3CB1B9D9"/>
    <w:rsid w:val="3D497C11"/>
    <w:rsid w:val="3E235F01"/>
    <w:rsid w:val="3ECC140B"/>
    <w:rsid w:val="3ECD93AD"/>
    <w:rsid w:val="3F877010"/>
    <w:rsid w:val="3FBDD80E"/>
    <w:rsid w:val="404C54C4"/>
    <w:rsid w:val="409301E3"/>
    <w:rsid w:val="40A57558"/>
    <w:rsid w:val="40A9E78D"/>
    <w:rsid w:val="4125B1E2"/>
    <w:rsid w:val="41BF0238"/>
    <w:rsid w:val="41E34BAE"/>
    <w:rsid w:val="4222FE33"/>
    <w:rsid w:val="4266469F"/>
    <w:rsid w:val="43476B0B"/>
    <w:rsid w:val="44207B79"/>
    <w:rsid w:val="443782B0"/>
    <w:rsid w:val="443A8B71"/>
    <w:rsid w:val="445D10DC"/>
    <w:rsid w:val="44D0CA1C"/>
    <w:rsid w:val="44F2898F"/>
    <w:rsid w:val="453C73B7"/>
    <w:rsid w:val="4561F1BA"/>
    <w:rsid w:val="45CAE53C"/>
    <w:rsid w:val="45D6FB1E"/>
    <w:rsid w:val="45FE5A87"/>
    <w:rsid w:val="46020D3E"/>
    <w:rsid w:val="46D7F4CA"/>
    <w:rsid w:val="46FD432A"/>
    <w:rsid w:val="475A27DE"/>
    <w:rsid w:val="47A1C67F"/>
    <w:rsid w:val="47CA3A5A"/>
    <w:rsid w:val="47D35207"/>
    <w:rsid w:val="4862DD1A"/>
    <w:rsid w:val="48C63347"/>
    <w:rsid w:val="48EEA8E6"/>
    <w:rsid w:val="492CA1F3"/>
    <w:rsid w:val="493A84B8"/>
    <w:rsid w:val="4976081B"/>
    <w:rsid w:val="49AB1F1A"/>
    <w:rsid w:val="49B58EBB"/>
    <w:rsid w:val="4A1C7290"/>
    <w:rsid w:val="4A56D68D"/>
    <w:rsid w:val="4A60EF7B"/>
    <w:rsid w:val="4A6D523F"/>
    <w:rsid w:val="4A97ACF4"/>
    <w:rsid w:val="4AE789D4"/>
    <w:rsid w:val="4B12F2C8"/>
    <w:rsid w:val="4D61582A"/>
    <w:rsid w:val="4E1B1C04"/>
    <w:rsid w:val="4E454460"/>
    <w:rsid w:val="4F2FB8CA"/>
    <w:rsid w:val="4F643A29"/>
    <w:rsid w:val="4F80C564"/>
    <w:rsid w:val="4FB8F8D5"/>
    <w:rsid w:val="4FBB71D2"/>
    <w:rsid w:val="4FF8DD3A"/>
    <w:rsid w:val="503558DB"/>
    <w:rsid w:val="50637289"/>
    <w:rsid w:val="508893A0"/>
    <w:rsid w:val="50B399A1"/>
    <w:rsid w:val="512832AD"/>
    <w:rsid w:val="515E1841"/>
    <w:rsid w:val="5218D37D"/>
    <w:rsid w:val="5277CE1E"/>
    <w:rsid w:val="52848165"/>
    <w:rsid w:val="5292A656"/>
    <w:rsid w:val="52D9288F"/>
    <w:rsid w:val="533909D1"/>
    <w:rsid w:val="536FFEB5"/>
    <w:rsid w:val="53755E25"/>
    <w:rsid w:val="53B05E52"/>
    <w:rsid w:val="53B2A1B4"/>
    <w:rsid w:val="53E551B6"/>
    <w:rsid w:val="53FA0DAC"/>
    <w:rsid w:val="54036516"/>
    <w:rsid w:val="540A5DDE"/>
    <w:rsid w:val="540E3C54"/>
    <w:rsid w:val="543A6775"/>
    <w:rsid w:val="54574AEF"/>
    <w:rsid w:val="54659B95"/>
    <w:rsid w:val="554CA41B"/>
    <w:rsid w:val="5554CEB1"/>
    <w:rsid w:val="55555340"/>
    <w:rsid w:val="5604DED7"/>
    <w:rsid w:val="564BA34F"/>
    <w:rsid w:val="5680D6CC"/>
    <w:rsid w:val="56B69275"/>
    <w:rsid w:val="56C5A1DD"/>
    <w:rsid w:val="56C6292E"/>
    <w:rsid w:val="56EE58F2"/>
    <w:rsid w:val="570E4085"/>
    <w:rsid w:val="57D81D91"/>
    <w:rsid w:val="57E31DE3"/>
    <w:rsid w:val="58357A04"/>
    <w:rsid w:val="59141016"/>
    <w:rsid w:val="599DED3C"/>
    <w:rsid w:val="59AB2229"/>
    <w:rsid w:val="59C0584D"/>
    <w:rsid w:val="59CD106D"/>
    <w:rsid w:val="59FFBAE3"/>
    <w:rsid w:val="5A92384B"/>
    <w:rsid w:val="5AA31746"/>
    <w:rsid w:val="5AFAF05C"/>
    <w:rsid w:val="5AFC56FE"/>
    <w:rsid w:val="5B01041B"/>
    <w:rsid w:val="5B160DD7"/>
    <w:rsid w:val="5B19590F"/>
    <w:rsid w:val="5B3E11C9"/>
    <w:rsid w:val="5B566252"/>
    <w:rsid w:val="5B8B6D4F"/>
    <w:rsid w:val="5BE84FC5"/>
    <w:rsid w:val="5C5216F1"/>
    <w:rsid w:val="5D85C3C8"/>
    <w:rsid w:val="5D95FAA6"/>
    <w:rsid w:val="5DDFE150"/>
    <w:rsid w:val="5E9F8105"/>
    <w:rsid w:val="5F7D8991"/>
    <w:rsid w:val="5F8A3EC6"/>
    <w:rsid w:val="5FB95BBB"/>
    <w:rsid w:val="5FD3C6E5"/>
    <w:rsid w:val="5FF80465"/>
    <w:rsid w:val="60466CAF"/>
    <w:rsid w:val="60649DB0"/>
    <w:rsid w:val="607B15AF"/>
    <w:rsid w:val="61132D79"/>
    <w:rsid w:val="611BAEB4"/>
    <w:rsid w:val="61579BF9"/>
    <w:rsid w:val="62847E90"/>
    <w:rsid w:val="63A210FE"/>
    <w:rsid w:val="63A43147"/>
    <w:rsid w:val="641642E3"/>
    <w:rsid w:val="642C6397"/>
    <w:rsid w:val="64490C52"/>
    <w:rsid w:val="657C5888"/>
    <w:rsid w:val="658781D5"/>
    <w:rsid w:val="65AB29FB"/>
    <w:rsid w:val="65F2EDD3"/>
    <w:rsid w:val="662503D2"/>
    <w:rsid w:val="667DBF79"/>
    <w:rsid w:val="67165DD6"/>
    <w:rsid w:val="67841C0A"/>
    <w:rsid w:val="68D3AA32"/>
    <w:rsid w:val="69351473"/>
    <w:rsid w:val="69A69760"/>
    <w:rsid w:val="69E54EB9"/>
    <w:rsid w:val="6A9D918E"/>
    <w:rsid w:val="6ACA019E"/>
    <w:rsid w:val="6ACD0004"/>
    <w:rsid w:val="6AD5D008"/>
    <w:rsid w:val="6AF31C97"/>
    <w:rsid w:val="6B06D790"/>
    <w:rsid w:val="6B1BE794"/>
    <w:rsid w:val="6B70407F"/>
    <w:rsid w:val="6C97A122"/>
    <w:rsid w:val="6CFDC8C4"/>
    <w:rsid w:val="6D26A522"/>
    <w:rsid w:val="6D893F7A"/>
    <w:rsid w:val="6E4B2EF5"/>
    <w:rsid w:val="6E7C1B3A"/>
    <w:rsid w:val="6EEF845A"/>
    <w:rsid w:val="6F3F2C04"/>
    <w:rsid w:val="6FC1FF10"/>
    <w:rsid w:val="6FEB6AD0"/>
    <w:rsid w:val="6FF1E706"/>
    <w:rsid w:val="7076C80E"/>
    <w:rsid w:val="70A9E410"/>
    <w:rsid w:val="7109F5D5"/>
    <w:rsid w:val="7124FD65"/>
    <w:rsid w:val="7132ECA9"/>
    <w:rsid w:val="716DAA31"/>
    <w:rsid w:val="71AA9276"/>
    <w:rsid w:val="7410C376"/>
    <w:rsid w:val="74B0F37A"/>
    <w:rsid w:val="74E1580D"/>
    <w:rsid w:val="752E2E5D"/>
    <w:rsid w:val="75672E4C"/>
    <w:rsid w:val="75C34E4C"/>
    <w:rsid w:val="75D8867C"/>
    <w:rsid w:val="76188F6D"/>
    <w:rsid w:val="76865080"/>
    <w:rsid w:val="76B2AC18"/>
    <w:rsid w:val="76C972FB"/>
    <w:rsid w:val="76DB0DCD"/>
    <w:rsid w:val="76FB10B4"/>
    <w:rsid w:val="77061539"/>
    <w:rsid w:val="7764D725"/>
    <w:rsid w:val="77BEF984"/>
    <w:rsid w:val="77C58A9A"/>
    <w:rsid w:val="77D4114E"/>
    <w:rsid w:val="7800870A"/>
    <w:rsid w:val="784DBBA4"/>
    <w:rsid w:val="78851F58"/>
    <w:rsid w:val="78D43C5E"/>
    <w:rsid w:val="7AA15D35"/>
    <w:rsid w:val="7ABA27B5"/>
    <w:rsid w:val="7B105E46"/>
    <w:rsid w:val="7B8F63C8"/>
    <w:rsid w:val="7BAAD3CB"/>
    <w:rsid w:val="7C24BC59"/>
    <w:rsid w:val="7C46F405"/>
    <w:rsid w:val="7CA927F9"/>
    <w:rsid w:val="7CF674B9"/>
    <w:rsid w:val="7D549D42"/>
    <w:rsid w:val="7E01B6D0"/>
    <w:rsid w:val="7E02C9EF"/>
    <w:rsid w:val="7E8501BB"/>
    <w:rsid w:val="7EA70F2B"/>
    <w:rsid w:val="7EF69816"/>
    <w:rsid w:val="7FA19B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F9111F"/>
  <w15:docId w15:val="{04985161-74CA-4F0B-BA30-B20FB7BCA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nhideWhenUsed="1"/>
  </w:latentStyles>
  <w:style w:type="paragraph" w:default="1" w:styleId="Normal">
    <w:name w:val="Normal"/>
    <w:qFormat/>
    <w:rsid w:val="00F060F3"/>
  </w:style>
  <w:style w:type="paragraph" w:styleId="Heading1">
    <w:name w:val="heading 1"/>
    <w:basedOn w:val="Normal"/>
    <w:next w:val="BalloonText"/>
    <w:uiPriority w:val="9"/>
    <w:qFormat/>
    <w:rsid w:val="007E3943"/>
    <w:pPr>
      <w:numPr>
        <w:numId w:val="12"/>
      </w:numPr>
      <w:spacing w:before="240" w:line="480" w:lineRule="auto"/>
      <w:outlineLvl w:val="0"/>
    </w:pPr>
    <w:rPr>
      <w:b/>
      <w:sz w:val="24"/>
      <w:szCs w:val="24"/>
      <w:u w:val="single"/>
    </w:rPr>
  </w:style>
  <w:style w:type="paragraph" w:styleId="Heading2">
    <w:name w:val="heading 2"/>
    <w:basedOn w:val="Normal"/>
    <w:next w:val="BodyText"/>
    <w:link w:val="Heading2Char"/>
    <w:uiPriority w:val="9"/>
    <w:qFormat/>
    <w:rsid w:val="007E3943"/>
    <w:pPr>
      <w:numPr>
        <w:ilvl w:val="1"/>
        <w:numId w:val="12"/>
      </w:numPr>
      <w:spacing w:before="120" w:line="480" w:lineRule="auto"/>
      <w:outlineLvl w:val="1"/>
    </w:pPr>
    <w:rPr>
      <w:b/>
      <w:sz w:val="24"/>
      <w:szCs w:val="24"/>
    </w:rPr>
  </w:style>
  <w:style w:type="paragraph" w:styleId="Heading3">
    <w:name w:val="heading 3"/>
    <w:basedOn w:val="Normal"/>
    <w:next w:val="BodyText"/>
    <w:link w:val="Heading3Char"/>
    <w:uiPriority w:val="9"/>
    <w:qFormat/>
    <w:rsid w:val="007E3943"/>
    <w:pPr>
      <w:keepNext/>
      <w:numPr>
        <w:ilvl w:val="2"/>
        <w:numId w:val="12"/>
      </w:numPr>
      <w:spacing w:before="240" w:after="60" w:line="480" w:lineRule="auto"/>
      <w:outlineLvl w:val="2"/>
    </w:pPr>
    <w:rPr>
      <w:b/>
      <w:sz w:val="24"/>
    </w:rPr>
  </w:style>
  <w:style w:type="paragraph" w:styleId="Heading4">
    <w:name w:val="heading 4"/>
    <w:basedOn w:val="Normal"/>
    <w:next w:val="BodyText"/>
    <w:uiPriority w:val="9"/>
    <w:qFormat/>
    <w:rsid w:val="007E3943"/>
    <w:pPr>
      <w:keepNext/>
      <w:numPr>
        <w:ilvl w:val="3"/>
        <w:numId w:val="12"/>
      </w:numPr>
      <w:spacing w:line="480" w:lineRule="auto"/>
      <w:jc w:val="center"/>
      <w:outlineLvl w:val="3"/>
    </w:pPr>
    <w:rPr>
      <w:b/>
      <w:sz w:val="24"/>
    </w:rPr>
  </w:style>
  <w:style w:type="paragraph" w:styleId="Heading5">
    <w:name w:val="heading 5"/>
    <w:basedOn w:val="Normal"/>
    <w:next w:val="BodyText"/>
    <w:uiPriority w:val="9"/>
    <w:qFormat/>
    <w:rsid w:val="007E3943"/>
    <w:pPr>
      <w:keepNext/>
      <w:numPr>
        <w:ilvl w:val="4"/>
        <w:numId w:val="12"/>
      </w:numPr>
      <w:outlineLvl w:val="4"/>
    </w:pPr>
    <w:rPr>
      <w:b/>
      <w:sz w:val="24"/>
    </w:rPr>
  </w:style>
  <w:style w:type="paragraph" w:styleId="Heading6">
    <w:name w:val="heading 6"/>
    <w:basedOn w:val="Normal"/>
    <w:next w:val="BodyText"/>
    <w:uiPriority w:val="9"/>
    <w:qFormat/>
    <w:rsid w:val="007E3943"/>
    <w:pPr>
      <w:keepNext/>
      <w:numPr>
        <w:ilvl w:val="5"/>
        <w:numId w:val="12"/>
      </w:numPr>
      <w:jc w:val="center"/>
      <w:outlineLvl w:val="5"/>
    </w:pPr>
    <w:rPr>
      <w:b/>
      <w:sz w:val="24"/>
    </w:rPr>
  </w:style>
  <w:style w:type="paragraph" w:styleId="Heading7">
    <w:name w:val="heading 7"/>
    <w:basedOn w:val="Normal"/>
    <w:next w:val="BodyText"/>
    <w:uiPriority w:val="9"/>
    <w:qFormat/>
    <w:rsid w:val="007E3943"/>
    <w:pPr>
      <w:keepNext/>
      <w:numPr>
        <w:ilvl w:val="6"/>
        <w:numId w:val="12"/>
      </w:numPr>
      <w:outlineLvl w:val="6"/>
    </w:pPr>
    <w:rPr>
      <w:b/>
      <w:sz w:val="24"/>
    </w:rPr>
  </w:style>
  <w:style w:type="paragraph" w:styleId="Heading8">
    <w:name w:val="heading 8"/>
    <w:basedOn w:val="Normal"/>
    <w:next w:val="BodyText"/>
    <w:uiPriority w:val="9"/>
    <w:qFormat/>
    <w:rsid w:val="007E3943"/>
    <w:pPr>
      <w:keepNext/>
      <w:numPr>
        <w:ilvl w:val="7"/>
        <w:numId w:val="12"/>
      </w:numPr>
      <w:outlineLvl w:val="7"/>
    </w:pPr>
    <w:rPr>
      <w:b/>
      <w:snapToGrid w:val="0"/>
      <w:color w:val="000000"/>
      <w:sz w:val="24"/>
    </w:rPr>
  </w:style>
  <w:style w:type="paragraph" w:styleId="Heading9">
    <w:name w:val="heading 9"/>
    <w:basedOn w:val="Normal"/>
    <w:next w:val="BodyText"/>
    <w:uiPriority w:val="9"/>
    <w:qFormat/>
    <w:rsid w:val="007E3943"/>
    <w:pPr>
      <w:keepNext/>
      <w:numPr>
        <w:ilvl w:val="8"/>
        <w:numId w:val="12"/>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F060F3"/>
    <w:pPr>
      <w:spacing w:line="480" w:lineRule="auto"/>
    </w:pPr>
    <w:rPr>
      <w:rFonts w:ascii="Courier New" w:hAnsi="Courier New"/>
      <w:sz w:val="24"/>
    </w:rPr>
  </w:style>
  <w:style w:type="paragraph" w:styleId="BodyText">
    <w:name w:val="Body Text"/>
    <w:basedOn w:val="BlockText"/>
    <w:link w:val="BodyTextChar"/>
    <w:uiPriority w:val="99"/>
    <w:rsid w:val="00FD33CB"/>
    <w:pPr>
      <w:spacing w:line="360" w:lineRule="auto"/>
      <w:ind w:left="0" w:right="0" w:firstLine="720"/>
      <w:jc w:val="both"/>
    </w:pPr>
    <w:rPr>
      <w:rFonts w:ascii="Arial" w:hAnsi="Arial"/>
      <w:sz w:val="24"/>
    </w:rPr>
  </w:style>
  <w:style w:type="paragraph" w:styleId="BlockText">
    <w:name w:val="Block Text"/>
    <w:basedOn w:val="Normal"/>
    <w:link w:val="BlockTextChar"/>
    <w:rsid w:val="00F060F3"/>
    <w:pPr>
      <w:spacing w:after="120"/>
      <w:ind w:left="1440" w:right="1440"/>
    </w:pPr>
  </w:style>
  <w:style w:type="paragraph" w:styleId="FootnoteText">
    <w:name w:val="footnote text"/>
    <w:basedOn w:val="Normal"/>
    <w:link w:val="FootnoteTextChar"/>
    <w:semiHidden/>
    <w:rsid w:val="00F060F3"/>
    <w:rPr>
      <w:rFonts w:ascii="Arial" w:hAnsi="Arial"/>
    </w:rPr>
  </w:style>
  <w:style w:type="character" w:styleId="Hyperlink">
    <w:name w:val="Hyperlink"/>
    <w:uiPriority w:val="99"/>
    <w:rsid w:val="00F060F3"/>
    <w:rPr>
      <w:color w:val="0000FF"/>
      <w:u w:val="single"/>
    </w:rPr>
  </w:style>
  <w:style w:type="paragraph" w:styleId="Header">
    <w:name w:val="header"/>
    <w:basedOn w:val="Normal"/>
    <w:rsid w:val="00F060F3"/>
    <w:pPr>
      <w:tabs>
        <w:tab w:val="center" w:pos="4320"/>
        <w:tab w:val="right" w:pos="8640"/>
      </w:tabs>
      <w:spacing w:line="480" w:lineRule="auto"/>
    </w:pPr>
    <w:rPr>
      <w:rFonts w:ascii="Courier" w:hAnsi="Courier"/>
      <w:sz w:val="24"/>
    </w:rPr>
  </w:style>
  <w:style w:type="paragraph" w:styleId="TOC1">
    <w:name w:val="toc 1"/>
    <w:aliases w:val="TOC Aerial"/>
    <w:basedOn w:val="Normal"/>
    <w:next w:val="Normal"/>
    <w:autoRedefine/>
    <w:uiPriority w:val="39"/>
    <w:rsid w:val="00B25DA4"/>
    <w:pPr>
      <w:keepLines/>
      <w:tabs>
        <w:tab w:val="left" w:pos="1440"/>
        <w:tab w:val="right" w:leader="dot" w:pos="9288"/>
      </w:tabs>
      <w:spacing w:after="120"/>
      <w:ind w:left="720" w:right="720" w:hanging="720"/>
    </w:pPr>
  </w:style>
  <w:style w:type="paragraph" w:styleId="TOC2">
    <w:name w:val="toc 2"/>
    <w:aliases w:val="Aerial"/>
    <w:basedOn w:val="Normal"/>
    <w:next w:val="Normal"/>
    <w:autoRedefine/>
    <w:uiPriority w:val="39"/>
    <w:rsid w:val="00421F4B"/>
    <w:pPr>
      <w:keepLines/>
      <w:tabs>
        <w:tab w:val="left" w:pos="720"/>
        <w:tab w:val="left" w:pos="1440"/>
        <w:tab w:val="right" w:leader="dot" w:pos="9288"/>
      </w:tabs>
      <w:spacing w:after="120"/>
      <w:ind w:left="720" w:right="720"/>
    </w:pPr>
  </w:style>
  <w:style w:type="paragraph" w:styleId="TOC3">
    <w:name w:val="toc 3"/>
    <w:basedOn w:val="Normal"/>
    <w:next w:val="Normal"/>
    <w:autoRedefine/>
    <w:uiPriority w:val="39"/>
    <w:rsid w:val="00FA6F1A"/>
    <w:pPr>
      <w:keepLines/>
      <w:tabs>
        <w:tab w:val="left" w:pos="2160"/>
        <w:tab w:val="right" w:leader="dot" w:pos="9288"/>
      </w:tabs>
      <w:spacing w:after="120"/>
      <w:ind w:left="1440" w:right="720" w:hanging="720"/>
    </w:pPr>
  </w:style>
  <w:style w:type="paragraph" w:styleId="BodyText3">
    <w:name w:val="Body Text 3"/>
    <w:basedOn w:val="Normal"/>
    <w:rsid w:val="00962A51"/>
    <w:pPr>
      <w:tabs>
        <w:tab w:val="left" w:pos="900"/>
      </w:tabs>
      <w:spacing w:after="120" w:line="360" w:lineRule="auto"/>
      <w:jc w:val="both"/>
    </w:pPr>
    <w:rPr>
      <w:rFonts w:ascii="Arial" w:hAnsi="Arial"/>
      <w:sz w:val="24"/>
    </w:rPr>
  </w:style>
  <w:style w:type="character" w:styleId="FootnoteReference">
    <w:name w:val="footnote reference"/>
    <w:semiHidden/>
    <w:rsid w:val="00F060F3"/>
    <w:rPr>
      <w:position w:val="6"/>
      <w:sz w:val="16"/>
    </w:rPr>
  </w:style>
  <w:style w:type="paragraph" w:styleId="NormalIndent">
    <w:name w:val="Normal Indent"/>
    <w:basedOn w:val="Normal"/>
    <w:rsid w:val="00F060F3"/>
    <w:pPr>
      <w:ind w:left="720"/>
    </w:pPr>
    <w:rPr>
      <w:rFonts w:ascii="Arial" w:hAnsi="Arial"/>
      <w:sz w:val="24"/>
    </w:rPr>
  </w:style>
  <w:style w:type="paragraph" w:styleId="BodyText2">
    <w:name w:val="Body Text 2"/>
    <w:basedOn w:val="Normal"/>
    <w:rsid w:val="00F060F3"/>
    <w:pPr>
      <w:jc w:val="both"/>
    </w:pPr>
    <w:rPr>
      <w:sz w:val="24"/>
    </w:rPr>
  </w:style>
  <w:style w:type="paragraph" w:styleId="Footer">
    <w:name w:val="footer"/>
    <w:basedOn w:val="Normal"/>
    <w:link w:val="FooterChar"/>
    <w:uiPriority w:val="99"/>
    <w:rsid w:val="00F060F3"/>
    <w:pPr>
      <w:tabs>
        <w:tab w:val="center" w:pos="4320"/>
        <w:tab w:val="right" w:pos="8640"/>
      </w:tabs>
      <w:spacing w:line="480" w:lineRule="auto"/>
    </w:pPr>
    <w:rPr>
      <w:rFonts w:ascii="Courier" w:hAnsi="Courier"/>
      <w:sz w:val="24"/>
    </w:rPr>
  </w:style>
  <w:style w:type="character" w:styleId="PageNumber">
    <w:name w:val="page number"/>
    <w:basedOn w:val="DefaultParagraphFont"/>
    <w:rsid w:val="00F060F3"/>
  </w:style>
  <w:style w:type="paragraph" w:styleId="DocumentMap">
    <w:name w:val="Document Map"/>
    <w:basedOn w:val="Normal"/>
    <w:semiHidden/>
    <w:rsid w:val="00F060F3"/>
    <w:pPr>
      <w:shd w:val="clear" w:color="auto" w:fill="000080"/>
    </w:pPr>
    <w:rPr>
      <w:rFonts w:ascii="Tahoma" w:hAnsi="Tahoma"/>
    </w:rPr>
  </w:style>
  <w:style w:type="paragraph" w:styleId="EndnoteText">
    <w:name w:val="endnote text"/>
    <w:basedOn w:val="Normal"/>
    <w:semiHidden/>
    <w:rsid w:val="00F060F3"/>
    <w:pPr>
      <w:widowControl w:val="0"/>
    </w:pPr>
    <w:rPr>
      <w:rFonts w:ascii="Courier New" w:hAnsi="Courier New"/>
      <w:sz w:val="24"/>
    </w:rPr>
  </w:style>
  <w:style w:type="paragraph" w:styleId="TOC4">
    <w:name w:val="toc 4"/>
    <w:basedOn w:val="Normal"/>
    <w:next w:val="Normal"/>
    <w:autoRedefine/>
    <w:semiHidden/>
    <w:rsid w:val="00F060F3"/>
    <w:pPr>
      <w:keepLines/>
      <w:tabs>
        <w:tab w:val="right" w:leader="dot" w:pos="9288"/>
      </w:tabs>
      <w:spacing w:after="120"/>
      <w:ind w:left="2880" w:right="720" w:hanging="720"/>
    </w:pPr>
  </w:style>
  <w:style w:type="paragraph" w:styleId="TOC5">
    <w:name w:val="toc 5"/>
    <w:basedOn w:val="Normal"/>
    <w:next w:val="Normal"/>
    <w:autoRedefine/>
    <w:semiHidden/>
    <w:rsid w:val="00F060F3"/>
    <w:pPr>
      <w:keepLines/>
      <w:tabs>
        <w:tab w:val="right" w:leader="dot" w:pos="9288"/>
      </w:tabs>
      <w:spacing w:after="120"/>
      <w:ind w:left="3600" w:right="720" w:hanging="720"/>
    </w:pPr>
  </w:style>
  <w:style w:type="paragraph" w:styleId="TOC6">
    <w:name w:val="toc 6"/>
    <w:basedOn w:val="Normal"/>
    <w:next w:val="Normal"/>
    <w:autoRedefine/>
    <w:semiHidden/>
    <w:rsid w:val="00F060F3"/>
    <w:pPr>
      <w:keepLines/>
      <w:tabs>
        <w:tab w:val="right" w:leader="dot" w:pos="9288"/>
      </w:tabs>
      <w:spacing w:after="120"/>
      <w:ind w:left="4320" w:right="720" w:hanging="720"/>
    </w:pPr>
  </w:style>
  <w:style w:type="paragraph" w:styleId="TOC7">
    <w:name w:val="toc 7"/>
    <w:basedOn w:val="Normal"/>
    <w:next w:val="Normal"/>
    <w:autoRedefine/>
    <w:semiHidden/>
    <w:rsid w:val="00F060F3"/>
    <w:pPr>
      <w:keepLines/>
      <w:tabs>
        <w:tab w:val="right" w:leader="dot" w:pos="9288"/>
      </w:tabs>
      <w:spacing w:after="120"/>
      <w:ind w:left="5040" w:right="720" w:hanging="720"/>
    </w:pPr>
  </w:style>
  <w:style w:type="paragraph" w:styleId="TOC8">
    <w:name w:val="toc 8"/>
    <w:basedOn w:val="Normal"/>
    <w:next w:val="Normal"/>
    <w:autoRedefine/>
    <w:semiHidden/>
    <w:rsid w:val="00F060F3"/>
    <w:pPr>
      <w:keepLines/>
      <w:tabs>
        <w:tab w:val="right" w:leader="dot" w:pos="9288"/>
      </w:tabs>
      <w:spacing w:after="120"/>
      <w:ind w:left="5760" w:right="720" w:hanging="720"/>
    </w:pPr>
  </w:style>
  <w:style w:type="paragraph" w:styleId="TOC9">
    <w:name w:val="toc 9"/>
    <w:basedOn w:val="Normal"/>
    <w:next w:val="Normal"/>
    <w:autoRedefine/>
    <w:semiHidden/>
    <w:rsid w:val="00F060F3"/>
    <w:pPr>
      <w:keepLines/>
      <w:tabs>
        <w:tab w:val="right" w:leader="dot" w:pos="9288"/>
      </w:tabs>
      <w:spacing w:after="120"/>
      <w:ind w:left="6480" w:right="720" w:hanging="720"/>
    </w:pPr>
  </w:style>
  <w:style w:type="paragraph" w:styleId="BodyTextIndent">
    <w:name w:val="Body Text Indent"/>
    <w:basedOn w:val="Normal"/>
    <w:rsid w:val="00F060F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ind w:left="720" w:hanging="720"/>
    </w:pPr>
  </w:style>
  <w:style w:type="paragraph" w:customStyle="1" w:styleId="Title2">
    <w:name w:val="Title 2"/>
    <w:basedOn w:val="Normal"/>
    <w:next w:val="Normal"/>
    <w:rsid w:val="00F060F3"/>
    <w:rPr>
      <w:rFonts w:ascii="Arial" w:hAnsi="Arial"/>
      <w:b/>
      <w:sz w:val="24"/>
    </w:rPr>
  </w:style>
  <w:style w:type="paragraph" w:customStyle="1" w:styleId="Title22">
    <w:name w:val="Title 22"/>
    <w:basedOn w:val="Normal"/>
    <w:next w:val="Normal"/>
    <w:rsid w:val="00F060F3"/>
    <w:rPr>
      <w:rFonts w:ascii="Arial" w:hAnsi="Arial"/>
      <w:b/>
      <w:sz w:val="24"/>
    </w:rPr>
  </w:style>
  <w:style w:type="paragraph" w:customStyle="1" w:styleId="Norm2">
    <w:name w:val="Norm 2"/>
    <w:basedOn w:val="Normal"/>
    <w:next w:val="Normal"/>
    <w:rsid w:val="00F060F3"/>
    <w:pPr>
      <w:jc w:val="center"/>
    </w:pPr>
    <w:rPr>
      <w:rFonts w:ascii="Arial" w:hAnsi="Arial"/>
      <w:sz w:val="24"/>
    </w:rPr>
  </w:style>
  <w:style w:type="paragraph" w:customStyle="1" w:styleId="ChartTitle">
    <w:name w:val="Chart Title"/>
    <w:basedOn w:val="Normal"/>
    <w:next w:val="Normal"/>
    <w:rsid w:val="00F060F3"/>
    <w:pPr>
      <w:jc w:val="center"/>
    </w:pPr>
    <w:rPr>
      <w:rFonts w:ascii="Arial" w:hAnsi="Arial"/>
      <w:b/>
      <w:sz w:val="24"/>
    </w:rPr>
  </w:style>
  <w:style w:type="paragraph" w:styleId="ListBullet">
    <w:name w:val="List Bullet"/>
    <w:basedOn w:val="Normal"/>
    <w:autoRedefine/>
    <w:rsid w:val="00F060F3"/>
    <w:pPr>
      <w:numPr>
        <w:numId w:val="1"/>
      </w:numPr>
    </w:pPr>
    <w:rPr>
      <w:b/>
      <w:sz w:val="24"/>
    </w:rPr>
  </w:style>
  <w:style w:type="paragraph" w:styleId="ListBullet2">
    <w:name w:val="List Bullet 2"/>
    <w:basedOn w:val="Normal"/>
    <w:autoRedefine/>
    <w:rsid w:val="00F060F3"/>
    <w:pPr>
      <w:numPr>
        <w:numId w:val="2"/>
      </w:numPr>
    </w:pPr>
    <w:rPr>
      <w:b/>
      <w:sz w:val="24"/>
    </w:rPr>
  </w:style>
  <w:style w:type="paragraph" w:styleId="ListBullet3">
    <w:name w:val="List Bullet 3"/>
    <w:basedOn w:val="Normal"/>
    <w:autoRedefine/>
    <w:rsid w:val="00F060F3"/>
    <w:pPr>
      <w:numPr>
        <w:numId w:val="3"/>
      </w:numPr>
    </w:pPr>
    <w:rPr>
      <w:b/>
      <w:sz w:val="24"/>
    </w:rPr>
  </w:style>
  <w:style w:type="paragraph" w:styleId="ListBullet4">
    <w:name w:val="List Bullet 4"/>
    <w:basedOn w:val="Normal"/>
    <w:autoRedefine/>
    <w:rsid w:val="00F060F3"/>
    <w:pPr>
      <w:numPr>
        <w:numId w:val="4"/>
      </w:numPr>
    </w:pPr>
    <w:rPr>
      <w:b/>
      <w:sz w:val="24"/>
    </w:rPr>
  </w:style>
  <w:style w:type="paragraph" w:styleId="ListBullet5">
    <w:name w:val="List Bullet 5"/>
    <w:basedOn w:val="Normal"/>
    <w:autoRedefine/>
    <w:rsid w:val="00F060F3"/>
    <w:pPr>
      <w:numPr>
        <w:numId w:val="5"/>
      </w:numPr>
    </w:pPr>
    <w:rPr>
      <w:b/>
      <w:sz w:val="24"/>
    </w:rPr>
  </w:style>
  <w:style w:type="paragraph" w:styleId="ListNumber">
    <w:name w:val="List Number"/>
    <w:basedOn w:val="Normal"/>
    <w:rsid w:val="00F060F3"/>
    <w:pPr>
      <w:numPr>
        <w:numId w:val="6"/>
      </w:numPr>
    </w:pPr>
    <w:rPr>
      <w:b/>
      <w:sz w:val="24"/>
    </w:rPr>
  </w:style>
  <w:style w:type="paragraph" w:styleId="ListNumber2">
    <w:name w:val="List Number 2"/>
    <w:basedOn w:val="Normal"/>
    <w:rsid w:val="00F060F3"/>
    <w:pPr>
      <w:numPr>
        <w:numId w:val="7"/>
      </w:numPr>
    </w:pPr>
    <w:rPr>
      <w:b/>
      <w:sz w:val="24"/>
    </w:rPr>
  </w:style>
  <w:style w:type="paragraph" w:styleId="ListNumber3">
    <w:name w:val="List Number 3"/>
    <w:basedOn w:val="Normal"/>
    <w:rsid w:val="00F060F3"/>
    <w:pPr>
      <w:numPr>
        <w:numId w:val="8"/>
      </w:numPr>
    </w:pPr>
    <w:rPr>
      <w:b/>
      <w:sz w:val="24"/>
    </w:rPr>
  </w:style>
  <w:style w:type="paragraph" w:styleId="ListNumber4">
    <w:name w:val="List Number 4"/>
    <w:basedOn w:val="Normal"/>
    <w:rsid w:val="00F060F3"/>
    <w:pPr>
      <w:numPr>
        <w:numId w:val="9"/>
      </w:numPr>
    </w:pPr>
    <w:rPr>
      <w:b/>
      <w:sz w:val="24"/>
    </w:rPr>
  </w:style>
  <w:style w:type="paragraph" w:styleId="ListNumber5">
    <w:name w:val="List Number 5"/>
    <w:basedOn w:val="Normal"/>
    <w:rsid w:val="00F060F3"/>
    <w:pPr>
      <w:numPr>
        <w:numId w:val="10"/>
      </w:numPr>
    </w:pPr>
    <w:rPr>
      <w:b/>
      <w:sz w:val="24"/>
    </w:rPr>
  </w:style>
  <w:style w:type="paragraph" w:styleId="Title">
    <w:name w:val="Title"/>
    <w:basedOn w:val="Normal"/>
    <w:link w:val="TitleChar"/>
    <w:qFormat/>
    <w:rsid w:val="00F060F3"/>
    <w:pPr>
      <w:spacing w:before="240" w:after="60"/>
      <w:jc w:val="center"/>
      <w:outlineLvl w:val="0"/>
    </w:pPr>
    <w:rPr>
      <w:rFonts w:ascii="Arial" w:hAnsi="Arial"/>
      <w:b/>
      <w:kern w:val="28"/>
      <w:sz w:val="32"/>
    </w:rPr>
  </w:style>
  <w:style w:type="paragraph" w:styleId="Caption">
    <w:name w:val="caption"/>
    <w:basedOn w:val="Normal"/>
    <w:next w:val="Normal"/>
    <w:qFormat/>
    <w:rsid w:val="00F060F3"/>
    <w:pPr>
      <w:spacing w:before="120" w:after="120"/>
      <w:jc w:val="center"/>
    </w:pPr>
    <w:rPr>
      <w:rFonts w:ascii="Arial" w:hAnsi="Arial"/>
      <w:b/>
      <w:sz w:val="24"/>
    </w:rPr>
  </w:style>
  <w:style w:type="paragraph" w:styleId="Subtitle">
    <w:name w:val="Subtitle"/>
    <w:basedOn w:val="Normal"/>
    <w:qFormat/>
    <w:rsid w:val="00FD33CB"/>
    <w:pPr>
      <w:spacing w:after="240"/>
      <w:jc w:val="center"/>
    </w:pPr>
    <w:rPr>
      <w:rFonts w:ascii="Arial" w:hAnsi="Arial"/>
      <w:b/>
      <w:sz w:val="24"/>
      <w:szCs w:val="24"/>
    </w:rPr>
  </w:style>
  <w:style w:type="paragraph" w:styleId="EnvelopeReturn">
    <w:name w:val="envelope return"/>
    <w:basedOn w:val="Normal"/>
    <w:rsid w:val="00F060F3"/>
    <w:rPr>
      <w:rFonts w:ascii="Arial" w:hAnsi="Arial"/>
      <w:sz w:val="24"/>
    </w:rPr>
  </w:style>
  <w:style w:type="paragraph" w:customStyle="1" w:styleId="TableHead">
    <w:name w:val="TableHead"/>
    <w:basedOn w:val="Normal"/>
    <w:rsid w:val="00F060F3"/>
    <w:pPr>
      <w:spacing w:before="240" w:after="240"/>
      <w:jc w:val="center"/>
    </w:pPr>
    <w:rPr>
      <w:sz w:val="24"/>
    </w:rPr>
  </w:style>
  <w:style w:type="paragraph" w:styleId="BodyTextFirstIndent">
    <w:name w:val="Body Text First Indent"/>
    <w:basedOn w:val="BodyText"/>
    <w:rsid w:val="00F060F3"/>
    <w:pPr>
      <w:spacing w:line="240" w:lineRule="auto"/>
      <w:ind w:firstLine="210"/>
    </w:pPr>
    <w:rPr>
      <w:rFonts w:ascii="Times New Roman" w:hAnsi="Times New Roman"/>
      <w:sz w:val="20"/>
    </w:rPr>
  </w:style>
  <w:style w:type="paragraph" w:styleId="BodyTextFirstIndent2">
    <w:name w:val="Body Text First Indent 2"/>
    <w:basedOn w:val="BodyTextIndent"/>
    <w:rsid w:val="00F060F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spacing w:after="120"/>
      <w:ind w:left="360" w:firstLine="210"/>
    </w:pPr>
  </w:style>
  <w:style w:type="paragraph" w:styleId="BodyTextIndent2">
    <w:name w:val="Body Text Indent 2"/>
    <w:basedOn w:val="Normal"/>
    <w:rsid w:val="00F060F3"/>
    <w:pPr>
      <w:spacing w:after="120" w:line="480" w:lineRule="auto"/>
      <w:ind w:left="360"/>
    </w:pPr>
  </w:style>
  <w:style w:type="paragraph" w:styleId="BodyTextIndent3">
    <w:name w:val="Body Text Indent 3"/>
    <w:basedOn w:val="Normal"/>
    <w:rsid w:val="00F060F3"/>
    <w:pPr>
      <w:spacing w:after="120"/>
      <w:ind w:left="360"/>
    </w:pPr>
    <w:rPr>
      <w:sz w:val="16"/>
    </w:rPr>
  </w:style>
  <w:style w:type="paragraph" w:styleId="Closing">
    <w:name w:val="Closing"/>
    <w:basedOn w:val="Normal"/>
    <w:rsid w:val="00F060F3"/>
    <w:pPr>
      <w:ind w:left="4320"/>
    </w:pPr>
  </w:style>
  <w:style w:type="paragraph" w:styleId="CommentText">
    <w:name w:val="annotation text"/>
    <w:basedOn w:val="Normal"/>
    <w:link w:val="CommentTextChar"/>
    <w:uiPriority w:val="99"/>
    <w:semiHidden/>
    <w:rsid w:val="00F060F3"/>
  </w:style>
  <w:style w:type="paragraph" w:styleId="Date">
    <w:name w:val="Date"/>
    <w:basedOn w:val="Normal"/>
    <w:next w:val="Normal"/>
    <w:rsid w:val="00F060F3"/>
  </w:style>
  <w:style w:type="paragraph" w:styleId="EnvelopeAddress">
    <w:name w:val="envelope address"/>
    <w:basedOn w:val="Normal"/>
    <w:rsid w:val="00F060F3"/>
    <w:pPr>
      <w:framePr w:w="7920" w:h="1980" w:hRule="exact" w:hSpace="180" w:wrap="auto" w:hAnchor="page" w:xAlign="center" w:yAlign="bottom"/>
      <w:ind w:left="2880"/>
    </w:pPr>
    <w:rPr>
      <w:rFonts w:ascii="Arial" w:hAnsi="Arial"/>
      <w:sz w:val="24"/>
    </w:rPr>
  </w:style>
  <w:style w:type="paragraph" w:styleId="Index1">
    <w:name w:val="index 1"/>
    <w:basedOn w:val="Normal"/>
    <w:next w:val="Normal"/>
    <w:autoRedefine/>
    <w:semiHidden/>
    <w:rsid w:val="00F060F3"/>
    <w:pPr>
      <w:ind w:left="200" w:hanging="200"/>
    </w:pPr>
  </w:style>
  <w:style w:type="paragraph" w:styleId="Index2">
    <w:name w:val="index 2"/>
    <w:basedOn w:val="Normal"/>
    <w:next w:val="Normal"/>
    <w:autoRedefine/>
    <w:semiHidden/>
    <w:rsid w:val="00F060F3"/>
    <w:pPr>
      <w:ind w:left="400" w:hanging="200"/>
    </w:pPr>
  </w:style>
  <w:style w:type="paragraph" w:styleId="Index3">
    <w:name w:val="index 3"/>
    <w:basedOn w:val="Normal"/>
    <w:next w:val="Normal"/>
    <w:autoRedefine/>
    <w:semiHidden/>
    <w:rsid w:val="00F060F3"/>
    <w:pPr>
      <w:ind w:left="600" w:hanging="200"/>
    </w:pPr>
  </w:style>
  <w:style w:type="paragraph" w:styleId="Index4">
    <w:name w:val="index 4"/>
    <w:basedOn w:val="Normal"/>
    <w:next w:val="Normal"/>
    <w:autoRedefine/>
    <w:semiHidden/>
    <w:rsid w:val="00F060F3"/>
    <w:pPr>
      <w:ind w:left="800" w:hanging="200"/>
    </w:pPr>
  </w:style>
  <w:style w:type="paragraph" w:styleId="Index5">
    <w:name w:val="index 5"/>
    <w:basedOn w:val="Normal"/>
    <w:next w:val="Normal"/>
    <w:autoRedefine/>
    <w:semiHidden/>
    <w:rsid w:val="00F060F3"/>
    <w:pPr>
      <w:ind w:left="1000" w:hanging="200"/>
    </w:pPr>
  </w:style>
  <w:style w:type="paragraph" w:styleId="Index6">
    <w:name w:val="index 6"/>
    <w:basedOn w:val="Normal"/>
    <w:next w:val="Normal"/>
    <w:autoRedefine/>
    <w:semiHidden/>
    <w:rsid w:val="00F060F3"/>
    <w:pPr>
      <w:ind w:left="1200" w:hanging="200"/>
    </w:pPr>
  </w:style>
  <w:style w:type="paragraph" w:styleId="Index7">
    <w:name w:val="index 7"/>
    <w:basedOn w:val="Normal"/>
    <w:next w:val="Normal"/>
    <w:autoRedefine/>
    <w:semiHidden/>
    <w:rsid w:val="00F060F3"/>
    <w:pPr>
      <w:ind w:left="1400" w:hanging="200"/>
    </w:pPr>
  </w:style>
  <w:style w:type="paragraph" w:styleId="Index8">
    <w:name w:val="index 8"/>
    <w:basedOn w:val="Normal"/>
    <w:next w:val="Normal"/>
    <w:autoRedefine/>
    <w:semiHidden/>
    <w:rsid w:val="00F060F3"/>
    <w:pPr>
      <w:ind w:left="1600" w:hanging="200"/>
    </w:pPr>
  </w:style>
  <w:style w:type="paragraph" w:styleId="Index9">
    <w:name w:val="index 9"/>
    <w:basedOn w:val="Normal"/>
    <w:next w:val="Normal"/>
    <w:autoRedefine/>
    <w:semiHidden/>
    <w:rsid w:val="00F060F3"/>
    <w:pPr>
      <w:ind w:left="1800" w:hanging="200"/>
    </w:pPr>
  </w:style>
  <w:style w:type="paragraph" w:styleId="IndexHeading">
    <w:name w:val="index heading"/>
    <w:basedOn w:val="Normal"/>
    <w:next w:val="Index1"/>
    <w:semiHidden/>
    <w:rsid w:val="00F060F3"/>
    <w:rPr>
      <w:rFonts w:ascii="Arial" w:hAnsi="Arial"/>
      <w:b/>
    </w:rPr>
  </w:style>
  <w:style w:type="paragraph" w:styleId="List">
    <w:name w:val="List"/>
    <w:basedOn w:val="Normal"/>
    <w:rsid w:val="00F060F3"/>
    <w:pPr>
      <w:ind w:left="360" w:hanging="360"/>
    </w:pPr>
  </w:style>
  <w:style w:type="paragraph" w:styleId="List2">
    <w:name w:val="List 2"/>
    <w:basedOn w:val="Normal"/>
    <w:rsid w:val="00F060F3"/>
    <w:pPr>
      <w:ind w:left="720" w:hanging="360"/>
    </w:pPr>
  </w:style>
  <w:style w:type="paragraph" w:styleId="List3">
    <w:name w:val="List 3"/>
    <w:basedOn w:val="Normal"/>
    <w:rsid w:val="00F060F3"/>
    <w:pPr>
      <w:ind w:left="1080" w:hanging="360"/>
    </w:pPr>
  </w:style>
  <w:style w:type="paragraph" w:styleId="List4">
    <w:name w:val="List 4"/>
    <w:basedOn w:val="Normal"/>
    <w:rsid w:val="00F060F3"/>
    <w:pPr>
      <w:ind w:left="1440" w:hanging="360"/>
    </w:pPr>
  </w:style>
  <w:style w:type="paragraph" w:styleId="List5">
    <w:name w:val="List 5"/>
    <w:basedOn w:val="Normal"/>
    <w:rsid w:val="00F060F3"/>
    <w:pPr>
      <w:ind w:left="1800" w:hanging="360"/>
    </w:pPr>
  </w:style>
  <w:style w:type="paragraph" w:styleId="ListContinue">
    <w:name w:val="List Continue"/>
    <w:basedOn w:val="Normal"/>
    <w:rsid w:val="00F060F3"/>
    <w:pPr>
      <w:spacing w:after="120"/>
      <w:ind w:left="360"/>
    </w:pPr>
  </w:style>
  <w:style w:type="paragraph" w:styleId="ListContinue2">
    <w:name w:val="List Continue 2"/>
    <w:basedOn w:val="Normal"/>
    <w:rsid w:val="00F060F3"/>
    <w:pPr>
      <w:spacing w:after="120"/>
      <w:ind w:left="720"/>
    </w:pPr>
  </w:style>
  <w:style w:type="paragraph" w:styleId="ListContinue3">
    <w:name w:val="List Continue 3"/>
    <w:basedOn w:val="Normal"/>
    <w:rsid w:val="00F060F3"/>
    <w:pPr>
      <w:spacing w:after="120"/>
      <w:ind w:left="1080"/>
    </w:pPr>
  </w:style>
  <w:style w:type="paragraph" w:styleId="ListContinue4">
    <w:name w:val="List Continue 4"/>
    <w:basedOn w:val="Normal"/>
    <w:rsid w:val="00F060F3"/>
    <w:pPr>
      <w:spacing w:after="120"/>
      <w:ind w:left="1440"/>
    </w:pPr>
  </w:style>
  <w:style w:type="paragraph" w:styleId="ListContinue5">
    <w:name w:val="List Continue 5"/>
    <w:basedOn w:val="Normal"/>
    <w:rsid w:val="00F060F3"/>
    <w:pPr>
      <w:spacing w:after="120"/>
      <w:ind w:left="1800"/>
    </w:pPr>
  </w:style>
  <w:style w:type="paragraph" w:styleId="MacroText">
    <w:name w:val="macro"/>
    <w:semiHidden/>
    <w:rsid w:val="00F060F3"/>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rsid w:val="00F060F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customStyle="1" w:styleId="NoteHeading1">
    <w:name w:val="Note Heading1"/>
    <w:basedOn w:val="Normal"/>
    <w:next w:val="Normal"/>
    <w:rsid w:val="00F060F3"/>
  </w:style>
  <w:style w:type="paragraph" w:styleId="Salutation">
    <w:name w:val="Salutation"/>
    <w:basedOn w:val="Normal"/>
    <w:next w:val="Normal"/>
    <w:rsid w:val="00F060F3"/>
  </w:style>
  <w:style w:type="paragraph" w:styleId="Signature">
    <w:name w:val="Signature"/>
    <w:basedOn w:val="Normal"/>
    <w:rsid w:val="00F060F3"/>
    <w:pPr>
      <w:ind w:left="4320"/>
    </w:pPr>
  </w:style>
  <w:style w:type="paragraph" w:styleId="TableofAuthorities">
    <w:name w:val="table of authorities"/>
    <w:basedOn w:val="Normal"/>
    <w:next w:val="Normal"/>
    <w:semiHidden/>
    <w:rsid w:val="00F060F3"/>
    <w:pPr>
      <w:ind w:left="200" w:hanging="200"/>
    </w:pPr>
  </w:style>
  <w:style w:type="paragraph" w:styleId="TableofFigures">
    <w:name w:val="table of figures"/>
    <w:basedOn w:val="Normal"/>
    <w:next w:val="Normal"/>
    <w:semiHidden/>
    <w:rsid w:val="00F060F3"/>
    <w:pPr>
      <w:ind w:left="400" w:hanging="400"/>
    </w:pPr>
  </w:style>
  <w:style w:type="paragraph" w:styleId="TOAHeading">
    <w:name w:val="toa heading"/>
    <w:basedOn w:val="Normal"/>
    <w:next w:val="Normal"/>
    <w:semiHidden/>
    <w:rsid w:val="00F060F3"/>
    <w:pPr>
      <w:spacing w:before="120"/>
    </w:pPr>
    <w:rPr>
      <w:rFonts w:ascii="Arial" w:hAnsi="Arial"/>
      <w:b/>
      <w:sz w:val="24"/>
    </w:rPr>
  </w:style>
  <w:style w:type="paragraph" w:styleId="BalloonText">
    <w:name w:val="Balloon Text"/>
    <w:basedOn w:val="Normal"/>
    <w:rsid w:val="00334E4F"/>
    <w:rPr>
      <w:rFonts w:ascii="Tahoma" w:hAnsi="Tahoma" w:cs="Tahoma"/>
      <w:sz w:val="16"/>
      <w:szCs w:val="16"/>
    </w:rPr>
  </w:style>
  <w:style w:type="character" w:styleId="CommentReference">
    <w:name w:val="annotation reference"/>
    <w:uiPriority w:val="99"/>
    <w:semiHidden/>
    <w:rsid w:val="003F73DE"/>
    <w:rPr>
      <w:sz w:val="16"/>
      <w:szCs w:val="16"/>
    </w:rPr>
  </w:style>
  <w:style w:type="paragraph" w:styleId="CommentSubject">
    <w:name w:val="annotation subject"/>
    <w:basedOn w:val="CommentText"/>
    <w:next w:val="CommentText"/>
    <w:semiHidden/>
    <w:rsid w:val="003F73DE"/>
    <w:rPr>
      <w:b/>
      <w:bCs/>
    </w:rPr>
  </w:style>
  <w:style w:type="table" w:customStyle="1" w:styleId="TableTitle">
    <w:name w:val="Table Title"/>
    <w:basedOn w:val="TableNormal"/>
    <w:rsid w:val="0064004F"/>
    <w:tblPr/>
  </w:style>
  <w:style w:type="paragraph" w:customStyle="1" w:styleId="StylePlainTextArialUnderlineJustifiedLinespacing15">
    <w:name w:val="Style Plain Text + Arial Underline Justified Line spacing:  1.5 ..."/>
    <w:basedOn w:val="PlainText"/>
    <w:rsid w:val="00BA3C9B"/>
    <w:pPr>
      <w:spacing w:after="120" w:line="360" w:lineRule="auto"/>
      <w:jc w:val="both"/>
    </w:pPr>
    <w:rPr>
      <w:rFonts w:ascii="Arial" w:hAnsi="Arial"/>
      <w:u w:val="single"/>
    </w:rPr>
  </w:style>
  <w:style w:type="paragraph" w:customStyle="1" w:styleId="StyleBodyTextBold">
    <w:name w:val="Style Body Text + Bold"/>
    <w:basedOn w:val="BodyText"/>
    <w:link w:val="StyleBodyTextBoldChar"/>
    <w:rsid w:val="00721B6A"/>
    <w:pPr>
      <w:adjustRightInd w:val="0"/>
    </w:pPr>
    <w:rPr>
      <w:b/>
      <w:bCs/>
    </w:rPr>
  </w:style>
  <w:style w:type="character" w:customStyle="1" w:styleId="BlockTextChar">
    <w:name w:val="Block Text Char"/>
    <w:link w:val="BlockText"/>
    <w:rsid w:val="00061C5F"/>
    <w:rPr>
      <w:lang w:val="en-US" w:eastAsia="en-US" w:bidi="ar-SA"/>
    </w:rPr>
  </w:style>
  <w:style w:type="character" w:customStyle="1" w:styleId="BodyTextChar">
    <w:name w:val="Body Text Char"/>
    <w:link w:val="BodyText"/>
    <w:uiPriority w:val="99"/>
    <w:rsid w:val="00061C5F"/>
    <w:rPr>
      <w:rFonts w:ascii="Arial" w:hAnsi="Arial"/>
      <w:sz w:val="24"/>
      <w:lang w:val="en-US" w:eastAsia="en-US" w:bidi="ar-SA"/>
    </w:rPr>
  </w:style>
  <w:style w:type="character" w:customStyle="1" w:styleId="StyleBodyTextBoldChar">
    <w:name w:val="Style Body Text + Bold Char"/>
    <w:link w:val="StyleBodyTextBold"/>
    <w:rsid w:val="00721B6A"/>
    <w:rPr>
      <w:rFonts w:ascii="Arial" w:hAnsi="Arial"/>
      <w:b/>
      <w:bCs/>
      <w:sz w:val="24"/>
      <w:lang w:val="en-US" w:eastAsia="en-US" w:bidi="ar-SA"/>
    </w:rPr>
  </w:style>
  <w:style w:type="character" w:customStyle="1" w:styleId="Char2">
    <w:name w:val="Char2"/>
    <w:rsid w:val="00257126"/>
    <w:rPr>
      <w:rFonts w:ascii="Arial" w:hAnsi="Arial"/>
      <w:sz w:val="24"/>
      <w:lang w:val="en-US" w:eastAsia="en-US" w:bidi="ar-SA"/>
    </w:rPr>
  </w:style>
  <w:style w:type="table" w:styleId="TableGrid">
    <w:name w:val="Table Grid"/>
    <w:basedOn w:val="TableNormal"/>
    <w:uiPriority w:val="59"/>
    <w:rsid w:val="00E2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F87C3D"/>
    <w:rPr>
      <w:b/>
      <w:sz w:val="24"/>
      <w:szCs w:val="24"/>
    </w:rPr>
  </w:style>
  <w:style w:type="paragraph" w:customStyle="1" w:styleId="Style1">
    <w:name w:val="Style1"/>
    <w:basedOn w:val="TOC1"/>
    <w:rsid w:val="00387088"/>
    <w:pPr>
      <w:tabs>
        <w:tab w:val="right" w:pos="10080"/>
      </w:tabs>
    </w:pPr>
  </w:style>
  <w:style w:type="table" w:styleId="TableClassic1">
    <w:name w:val="Table Classic 1"/>
    <w:basedOn w:val="TableNormal"/>
    <w:rsid w:val="006F6A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CalendarText">
    <w:name w:val="Table Calendar Text"/>
    <w:basedOn w:val="Normal"/>
    <w:rsid w:val="00F03FD2"/>
    <w:pPr>
      <w:autoSpaceDE w:val="0"/>
      <w:autoSpaceDN w:val="0"/>
      <w:adjustRightInd w:val="0"/>
      <w:spacing w:before="40" w:after="40"/>
      <w:jc w:val="center"/>
    </w:pPr>
    <w:rPr>
      <w:rFonts w:eastAsia="MS Mincho"/>
      <w:sz w:val="24"/>
      <w:szCs w:val="24"/>
      <w:lang w:eastAsia="zh-CN"/>
    </w:rPr>
  </w:style>
  <w:style w:type="paragraph" w:styleId="ListParagraph">
    <w:name w:val="List Paragraph"/>
    <w:basedOn w:val="Normal"/>
    <w:uiPriority w:val="34"/>
    <w:qFormat/>
    <w:rsid w:val="0014310C"/>
    <w:pPr>
      <w:spacing w:after="200" w:line="276" w:lineRule="auto"/>
      <w:ind w:left="720"/>
      <w:contextualSpacing/>
    </w:pPr>
    <w:rPr>
      <w:rFonts w:ascii="Calibri" w:eastAsia="Calibri" w:hAnsi="Calibri"/>
      <w:sz w:val="22"/>
      <w:szCs w:val="22"/>
    </w:rPr>
  </w:style>
  <w:style w:type="table" w:customStyle="1" w:styleId="TableGrid1">
    <w:name w:val="Table Grid1"/>
    <w:basedOn w:val="TableNormal"/>
    <w:next w:val="TableGrid"/>
    <w:uiPriority w:val="59"/>
    <w:rsid w:val="00E7251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7251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B8042C"/>
  </w:style>
  <w:style w:type="character" w:customStyle="1" w:styleId="PlainTextChar">
    <w:name w:val="Plain Text Char"/>
    <w:link w:val="PlainText"/>
    <w:rsid w:val="003C2094"/>
    <w:rPr>
      <w:rFonts w:ascii="Courier New" w:hAnsi="Courier New"/>
      <w:sz w:val="24"/>
    </w:rPr>
  </w:style>
  <w:style w:type="character" w:customStyle="1" w:styleId="FootnoteTextChar">
    <w:name w:val="Footnote Text Char"/>
    <w:link w:val="FootnoteText"/>
    <w:semiHidden/>
    <w:locked/>
    <w:rsid w:val="00BF55C6"/>
    <w:rPr>
      <w:rFonts w:ascii="Arial" w:hAnsi="Arial"/>
    </w:rPr>
  </w:style>
  <w:style w:type="character" w:customStyle="1" w:styleId="FooterChar">
    <w:name w:val="Footer Char"/>
    <w:link w:val="Footer"/>
    <w:uiPriority w:val="99"/>
    <w:rsid w:val="005D0CEA"/>
    <w:rPr>
      <w:rFonts w:ascii="Courier" w:hAnsi="Courier"/>
      <w:sz w:val="24"/>
    </w:rPr>
  </w:style>
  <w:style w:type="paragraph" w:styleId="Revision">
    <w:name w:val="Revision"/>
    <w:hidden/>
    <w:uiPriority w:val="99"/>
    <w:semiHidden/>
    <w:rsid w:val="007F258A"/>
  </w:style>
  <w:style w:type="character" w:customStyle="1" w:styleId="TitleChar">
    <w:name w:val="Title Char"/>
    <w:link w:val="Title"/>
    <w:rsid w:val="00E16CDB"/>
    <w:rPr>
      <w:rFonts w:ascii="Arial" w:hAnsi="Arial"/>
      <w:b/>
      <w:kern w:val="28"/>
      <w:sz w:val="32"/>
    </w:rPr>
  </w:style>
  <w:style w:type="character" w:customStyle="1" w:styleId="Heading3Char">
    <w:name w:val="Heading 3 Char"/>
    <w:link w:val="Heading3"/>
    <w:uiPriority w:val="9"/>
    <w:rsid w:val="00024A0D"/>
    <w:rPr>
      <w:b/>
      <w:sz w:val="24"/>
    </w:rPr>
  </w:style>
  <w:style w:type="character" w:customStyle="1" w:styleId="zzmpTrailerItem">
    <w:name w:val="zzmpTrailerItem"/>
    <w:basedOn w:val="DefaultParagraphFont"/>
    <w:rsid w:val="00F2061F"/>
    <w:rPr>
      <w:rFonts w:ascii="Times New Roman" w:hAnsi="Times New Roman" w:cs="Times New Roman"/>
      <w:dstrike w:val="0"/>
      <w:noProof/>
      <w:color w:val="auto"/>
      <w:spacing w:val="0"/>
      <w:position w:val="0"/>
      <w:sz w:val="16"/>
      <w:szCs w:val="16"/>
      <w:u w:val="none"/>
      <w:effect w:val="none"/>
      <w:vertAlign w:val="baseline"/>
    </w:rPr>
  </w:style>
  <w:style w:type="character" w:styleId="UnresolvedMention">
    <w:name w:val="Unresolved Mention"/>
    <w:basedOn w:val="DefaultParagraphFont"/>
    <w:uiPriority w:val="99"/>
    <w:rsid w:val="00503927"/>
    <w:rPr>
      <w:color w:val="605E5C"/>
      <w:shd w:val="clear" w:color="auto" w:fill="E1DFDD"/>
    </w:rPr>
  </w:style>
  <w:style w:type="character" w:styleId="Mention">
    <w:name w:val="Mention"/>
    <w:basedOn w:val="DefaultParagraphFont"/>
    <w:uiPriority w:val="99"/>
    <w:rsid w:val="00BF6B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147815">
      <w:bodyDiv w:val="1"/>
      <w:marLeft w:val="0"/>
      <w:marRight w:val="0"/>
      <w:marTop w:val="0"/>
      <w:marBottom w:val="0"/>
      <w:divBdr>
        <w:top w:val="none" w:sz="0" w:space="0" w:color="auto"/>
        <w:left w:val="none" w:sz="0" w:space="0" w:color="auto"/>
        <w:bottom w:val="none" w:sz="0" w:space="0" w:color="auto"/>
        <w:right w:val="none" w:sz="0" w:space="0" w:color="auto"/>
      </w:divBdr>
    </w:div>
    <w:div w:id="326060425">
      <w:bodyDiv w:val="1"/>
      <w:marLeft w:val="0"/>
      <w:marRight w:val="0"/>
      <w:marTop w:val="0"/>
      <w:marBottom w:val="0"/>
      <w:divBdr>
        <w:top w:val="none" w:sz="0" w:space="0" w:color="auto"/>
        <w:left w:val="none" w:sz="0" w:space="0" w:color="auto"/>
        <w:bottom w:val="none" w:sz="0" w:space="0" w:color="auto"/>
        <w:right w:val="none" w:sz="0" w:space="0" w:color="auto"/>
      </w:divBdr>
    </w:div>
    <w:div w:id="381905618">
      <w:bodyDiv w:val="1"/>
      <w:marLeft w:val="0"/>
      <w:marRight w:val="0"/>
      <w:marTop w:val="0"/>
      <w:marBottom w:val="0"/>
      <w:divBdr>
        <w:top w:val="none" w:sz="0" w:space="0" w:color="auto"/>
        <w:left w:val="none" w:sz="0" w:space="0" w:color="auto"/>
        <w:bottom w:val="none" w:sz="0" w:space="0" w:color="auto"/>
        <w:right w:val="none" w:sz="0" w:space="0" w:color="auto"/>
      </w:divBdr>
    </w:div>
    <w:div w:id="625551070">
      <w:bodyDiv w:val="1"/>
      <w:marLeft w:val="0"/>
      <w:marRight w:val="0"/>
      <w:marTop w:val="0"/>
      <w:marBottom w:val="0"/>
      <w:divBdr>
        <w:top w:val="none" w:sz="0" w:space="0" w:color="auto"/>
        <w:left w:val="none" w:sz="0" w:space="0" w:color="auto"/>
        <w:bottom w:val="none" w:sz="0" w:space="0" w:color="auto"/>
        <w:right w:val="none" w:sz="0" w:space="0" w:color="auto"/>
      </w:divBdr>
    </w:div>
    <w:div w:id="662586659">
      <w:bodyDiv w:val="1"/>
      <w:marLeft w:val="0"/>
      <w:marRight w:val="0"/>
      <w:marTop w:val="0"/>
      <w:marBottom w:val="0"/>
      <w:divBdr>
        <w:top w:val="none" w:sz="0" w:space="0" w:color="auto"/>
        <w:left w:val="none" w:sz="0" w:space="0" w:color="auto"/>
        <w:bottom w:val="none" w:sz="0" w:space="0" w:color="auto"/>
        <w:right w:val="none" w:sz="0" w:space="0" w:color="auto"/>
      </w:divBdr>
    </w:div>
    <w:div w:id="947811022">
      <w:bodyDiv w:val="1"/>
      <w:marLeft w:val="0"/>
      <w:marRight w:val="0"/>
      <w:marTop w:val="0"/>
      <w:marBottom w:val="0"/>
      <w:divBdr>
        <w:top w:val="none" w:sz="0" w:space="0" w:color="auto"/>
        <w:left w:val="none" w:sz="0" w:space="0" w:color="auto"/>
        <w:bottom w:val="none" w:sz="0" w:space="0" w:color="auto"/>
        <w:right w:val="none" w:sz="0" w:space="0" w:color="auto"/>
      </w:divBdr>
    </w:div>
    <w:div w:id="1113212975">
      <w:bodyDiv w:val="1"/>
      <w:marLeft w:val="0"/>
      <w:marRight w:val="0"/>
      <w:marTop w:val="0"/>
      <w:marBottom w:val="0"/>
      <w:divBdr>
        <w:top w:val="none" w:sz="0" w:space="0" w:color="auto"/>
        <w:left w:val="none" w:sz="0" w:space="0" w:color="auto"/>
        <w:bottom w:val="none" w:sz="0" w:space="0" w:color="auto"/>
        <w:right w:val="none" w:sz="0" w:space="0" w:color="auto"/>
      </w:divBdr>
    </w:div>
    <w:div w:id="1230270481">
      <w:bodyDiv w:val="1"/>
      <w:marLeft w:val="0"/>
      <w:marRight w:val="0"/>
      <w:marTop w:val="0"/>
      <w:marBottom w:val="0"/>
      <w:divBdr>
        <w:top w:val="none" w:sz="0" w:space="0" w:color="auto"/>
        <w:left w:val="none" w:sz="0" w:space="0" w:color="auto"/>
        <w:bottom w:val="none" w:sz="0" w:space="0" w:color="auto"/>
        <w:right w:val="none" w:sz="0" w:space="0" w:color="auto"/>
      </w:divBdr>
    </w:div>
    <w:div w:id="1905525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6.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1967D75047D4488F4CF40090A33154" ma:contentTypeVersion="6" ma:contentTypeDescription="Create a new document." ma:contentTypeScope="" ma:versionID="5f458bade19fa727accbdfe4a03e7328">
  <xsd:schema xmlns:xsd="http://www.w3.org/2001/XMLSchema" xmlns:xs="http://www.w3.org/2001/XMLSchema" xmlns:p="http://schemas.microsoft.com/office/2006/metadata/properties" xmlns:ns2="3791da17-b24c-4987-9def-4c5ad334919d" xmlns:ns3="5906880a-8ac9-437a-83c6-927d4c6d1a1d" targetNamespace="http://schemas.microsoft.com/office/2006/metadata/properties" ma:root="true" ma:fieldsID="2b983ab6d7704fa4d03d5c6fde1ddba8" ns2:_="" ns3:_="">
    <xsd:import namespace="3791da17-b24c-4987-9def-4c5ad334919d"/>
    <xsd:import namespace="5906880a-8ac9-437a-83c6-927d4c6d1a1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1da17-b24c-4987-9def-4c5ad3349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06880a-8ac9-437a-83c6-927d4c6d1a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1B985-83E1-400A-B368-037A9396AB70}">
  <ds:schemaRefs>
    <ds:schemaRef ds:uri="http://schemas.openxmlformats.org/officeDocument/2006/bibliography"/>
  </ds:schemaRefs>
</ds:datastoreItem>
</file>

<file path=customXml/itemProps2.xml><?xml version="1.0" encoding="utf-8"?>
<ds:datastoreItem xmlns:ds="http://schemas.openxmlformats.org/officeDocument/2006/customXml" ds:itemID="{07CACC95-3F05-41B4-AD7C-FD0DC54C29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B207C3-6839-45B6-B06A-48F31B684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91da17-b24c-4987-9def-4c5ad334919d"/>
    <ds:schemaRef ds:uri="5906880a-8ac9-437a-83c6-927d4c6d1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2B0CF0-B0DF-49EC-B6D6-AEF4FDD876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4090</Words>
  <Characters>29898</Characters>
  <Application>Microsoft Office Word</Application>
  <DocSecurity>0</DocSecurity>
  <Lines>1299</Lines>
  <Paragraphs>1416</Paragraphs>
  <ScaleCrop>false</ScaleCrop>
  <Company/>
  <LinksUpToDate>false</LinksUpToDate>
  <CharactersWithSpaces>32572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Pryor, Allison</dc:creator>
  <cp:keywords/>
  <cp:lastModifiedBy>Pryor, Allison</cp:lastModifiedBy>
  <cp:revision>4</cp:revision>
  <dcterms:created xsi:type="dcterms:W3CDTF">2025-06-05T17:39:00Z</dcterms:created>
  <dcterms:modified xsi:type="dcterms:W3CDTF">2025-06-05T17:41:00Z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0x010100061967D75047D4488F4CF40090A33154</vt:lpwstr>
  </property>
  <property fmtid="{D5CDD505-2E9C-101B-9397-08002B2CF9AE}" pid="3" name="MSIP_Label_ed3826ce-7c18-471d-9596-93de5bae332e_Enabled">
    <vt:lpwstr>true</vt:lpwstr>
  </property>
  <property fmtid="{D5CDD505-2E9C-101B-9397-08002B2CF9AE}" pid="4" name="MSIP_Label_ed3826ce-7c18-471d-9596-93de5bae332e_SetDate">
    <vt:lpwstr>2025-04-08T16:28:41Z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09e74607-4890-4ecf-99d0-d20f6c019439</vt:lpwstr>
  </property>
  <property fmtid="{D5CDD505-2E9C-101B-9397-08002B2CF9AE}" pid="9" name="MSIP_Label_ed3826ce-7c18-471d-9596-93de5bae332e_ContentBits">
    <vt:lpwstr>0</vt:lpwstr>
  </property>
  <property fmtid="{D5CDD505-2E9C-101B-9397-08002B2CF9AE}" pid="10" name="MSIP_Label_ed3826ce-7c18-471d-9596-93de5bae332e_Tag">
    <vt:lpwstr>10, 3, 0, 2</vt:lpwstr>
  </property>
</Properties>
</file>